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F92B" w14:textId="250A9D1D" w:rsidR="00411A1C" w:rsidRPr="0037743C" w:rsidRDefault="0037743C" w:rsidP="008B218E">
      <w:pPr>
        <w:pStyle w:val="paragraph"/>
        <w:spacing w:before="0"/>
        <w:ind w:left="720"/>
        <w:jc w:val="center"/>
        <w:textAlignment w:val="baseline"/>
        <w:rPr>
          <w:rStyle w:val="eop"/>
          <w:rFonts w:asciiTheme="majorBidi" w:hAnsiTheme="majorBidi" w:cstheme="majorBidi"/>
          <w:sz w:val="20"/>
          <w:szCs w:val="20"/>
        </w:rPr>
      </w:pPr>
      <w:r>
        <w:rPr>
          <w:b/>
          <w:bCs/>
        </w:rPr>
        <w:t>A</w:t>
      </w:r>
      <w:r w:rsidR="00411A1C">
        <w:rPr>
          <w:b/>
          <w:bCs/>
        </w:rPr>
        <w:t>n</w:t>
      </w:r>
      <w:r w:rsidR="00411A1C" w:rsidRPr="001C2AB1">
        <w:rPr>
          <w:b/>
          <w:bCs/>
        </w:rPr>
        <w:t xml:space="preserve"> </w:t>
      </w:r>
      <w:r w:rsidR="00411A1C" w:rsidRPr="3B900085">
        <w:rPr>
          <w:b/>
          <w:bCs/>
        </w:rPr>
        <w:t>All</w:t>
      </w:r>
      <w:r w:rsidR="00411A1C">
        <w:rPr>
          <w:b/>
          <w:bCs/>
        </w:rPr>
        <w:t>-Laser-Written Sensor</w:t>
      </w:r>
      <w:r w:rsidR="00411A1C" w:rsidRPr="3B900085">
        <w:rPr>
          <w:b/>
          <w:bCs/>
        </w:rPr>
        <w:t>-</w:t>
      </w:r>
      <w:r w:rsidR="00411A1C" w:rsidRPr="001C2AB1">
        <w:rPr>
          <w:b/>
          <w:bCs/>
        </w:rPr>
        <w:t xml:space="preserve">Integrated Porous Microneedle Array for </w:t>
      </w:r>
      <w:r w:rsidR="00411A1C" w:rsidRPr="3B900085">
        <w:rPr>
          <w:b/>
          <w:bCs/>
        </w:rPr>
        <w:t>Non-Invasive Monitoring of Biomolecules</w:t>
      </w:r>
    </w:p>
    <w:p w14:paraId="0CD8A87D" w14:textId="77777777" w:rsidR="00411A1C" w:rsidRDefault="00411A1C" w:rsidP="00411A1C">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Heshmat Asgharian</w:t>
      </w:r>
      <w:r>
        <w:rPr>
          <w:rStyle w:val="normaltextrun"/>
          <w:sz w:val="16"/>
          <w:szCs w:val="16"/>
          <w:vertAlign w:val="superscript"/>
        </w:rPr>
        <w:t>1,2</w:t>
      </w:r>
      <w:r>
        <w:rPr>
          <w:rStyle w:val="normaltextrun"/>
          <w:sz w:val="20"/>
          <w:szCs w:val="20"/>
        </w:rPr>
        <w:t xml:space="preserve"> and Aida Ebrahimi</w:t>
      </w:r>
      <w:r>
        <w:rPr>
          <w:rStyle w:val="normaltextrun"/>
          <w:sz w:val="16"/>
          <w:szCs w:val="16"/>
          <w:vertAlign w:val="superscript"/>
        </w:rPr>
        <w:t>1,2,</w:t>
      </w:r>
      <w:proofErr w:type="gramStart"/>
      <w:r>
        <w:rPr>
          <w:rStyle w:val="normaltextrun"/>
          <w:sz w:val="16"/>
          <w:szCs w:val="16"/>
          <w:vertAlign w:val="superscript"/>
        </w:rPr>
        <w:t>3,*</w:t>
      </w:r>
      <w:proofErr w:type="gramEnd"/>
      <w:r>
        <w:rPr>
          <w:rStyle w:val="eop"/>
          <w:sz w:val="16"/>
          <w:szCs w:val="16"/>
        </w:rPr>
        <w:t> </w:t>
      </w:r>
    </w:p>
    <w:p w14:paraId="6EC469EC" w14:textId="77777777" w:rsidR="00411A1C" w:rsidRPr="00B9287C" w:rsidRDefault="00411A1C" w:rsidP="00411A1C">
      <w:pPr>
        <w:pStyle w:val="paragraph"/>
        <w:spacing w:before="0" w:beforeAutospacing="0" w:after="0" w:afterAutospacing="0"/>
        <w:jc w:val="center"/>
        <w:textAlignment w:val="baseline"/>
        <w:rPr>
          <w:rFonts w:ascii="Segoe UI" w:hAnsi="Segoe UI" w:cs="Segoe UI"/>
          <w:sz w:val="18"/>
          <w:szCs w:val="18"/>
        </w:rPr>
      </w:pPr>
      <w:r>
        <w:rPr>
          <w:rStyle w:val="normaltextrun"/>
          <w:sz w:val="16"/>
          <w:szCs w:val="16"/>
          <w:vertAlign w:val="superscript"/>
        </w:rPr>
        <w:t>1</w:t>
      </w:r>
      <w:r>
        <w:rPr>
          <w:rStyle w:val="normaltextrun"/>
          <w:sz w:val="20"/>
          <w:szCs w:val="20"/>
        </w:rPr>
        <w:t>Department of Electrical Engineering,</w:t>
      </w:r>
      <w:r>
        <w:rPr>
          <w:rStyle w:val="normaltextrun"/>
          <w:sz w:val="16"/>
          <w:szCs w:val="16"/>
          <w:vertAlign w:val="superscript"/>
        </w:rPr>
        <w:t xml:space="preserve"> 2</w:t>
      </w:r>
      <w:r>
        <w:rPr>
          <w:rStyle w:val="normaltextrun"/>
          <w:sz w:val="20"/>
          <w:szCs w:val="20"/>
        </w:rPr>
        <w:t>Materials Research Institute,</w:t>
      </w:r>
      <w:r>
        <w:rPr>
          <w:rStyle w:val="normaltextrun"/>
          <w:sz w:val="16"/>
          <w:szCs w:val="16"/>
          <w:vertAlign w:val="superscript"/>
        </w:rPr>
        <w:t xml:space="preserve"> 3</w:t>
      </w:r>
      <w:r>
        <w:rPr>
          <w:rStyle w:val="normaltextrun"/>
          <w:sz w:val="20"/>
          <w:szCs w:val="20"/>
        </w:rPr>
        <w:t xml:space="preserve">Department of Biomedical Engineering, </w:t>
      </w:r>
      <w:r>
        <w:rPr>
          <w:rStyle w:val="scxw113134191"/>
        </w:rPr>
        <w:t> </w:t>
      </w:r>
      <w:r>
        <w:rPr>
          <w:sz w:val="20"/>
          <w:szCs w:val="20"/>
        </w:rPr>
        <w:br/>
      </w:r>
      <w:r>
        <w:rPr>
          <w:rStyle w:val="normaltextrun"/>
          <w:sz w:val="20"/>
          <w:szCs w:val="20"/>
        </w:rPr>
        <w:t>The Pennsylvania State University, University Park, Pennsylvania 16802, United States</w:t>
      </w:r>
      <w:r>
        <w:rPr>
          <w:rStyle w:val="eop"/>
        </w:rPr>
        <w:t> </w:t>
      </w:r>
    </w:p>
    <w:p w14:paraId="00206A84" w14:textId="77777777" w:rsidR="00411A1C" w:rsidRDefault="00411A1C" w:rsidP="00411A1C">
      <w:pPr>
        <w:autoSpaceDE w:val="0"/>
        <w:autoSpaceDN w:val="0"/>
        <w:adjustRightInd w:val="0"/>
        <w:spacing w:after="0" w:line="240" w:lineRule="auto"/>
        <w:jc w:val="both"/>
        <w:rPr>
          <w:rFonts w:asciiTheme="majorBidi" w:hAnsiTheme="majorBidi" w:cstheme="majorBidi"/>
          <w:kern w:val="0"/>
          <w:sz w:val="24"/>
          <w:szCs w:val="24"/>
        </w:rPr>
      </w:pPr>
    </w:p>
    <w:p w14:paraId="76A2ED17" w14:textId="617B6F00" w:rsidR="00411A1C" w:rsidRDefault="00411A1C" w:rsidP="00411A1C">
      <w:pPr>
        <w:autoSpaceDE w:val="0"/>
        <w:autoSpaceDN w:val="0"/>
        <w:adjustRightInd w:val="0"/>
        <w:spacing w:after="0" w:line="240" w:lineRule="auto"/>
        <w:jc w:val="both"/>
        <w:rPr>
          <w:rFonts w:asciiTheme="majorBidi" w:hAnsiTheme="majorBidi" w:cstheme="majorBidi"/>
          <w:kern w:val="0"/>
          <w:sz w:val="20"/>
          <w:szCs w:val="20"/>
        </w:rPr>
      </w:pPr>
      <w:r w:rsidRPr="00B9287C">
        <w:rPr>
          <w:rFonts w:asciiTheme="majorBidi" w:hAnsiTheme="majorBidi" w:cstheme="majorBidi"/>
          <w:kern w:val="0"/>
          <w:sz w:val="20"/>
          <w:szCs w:val="20"/>
        </w:rPr>
        <w:t>Microneedle arrays (MNAs) emerge as a pivotal innovation in biomedical engineering due to their minimally invasive access to biological fluids</w:t>
      </w:r>
      <w:r>
        <w:rPr>
          <w:rFonts w:asciiTheme="majorBidi" w:hAnsiTheme="majorBidi" w:cstheme="majorBidi"/>
          <w:kern w:val="0"/>
          <w:sz w:val="20"/>
          <w:szCs w:val="20"/>
        </w:rPr>
        <w:t>.</w:t>
      </w:r>
      <w:r>
        <w:rPr>
          <w:rFonts w:asciiTheme="majorBidi" w:hAnsiTheme="majorBidi" w:cstheme="majorBidi"/>
          <w:kern w:val="0"/>
          <w:sz w:val="20"/>
          <w:szCs w:val="20"/>
        </w:rPr>
        <w:fldChar w:fldCharType="begin" w:fldLock="1"/>
      </w:r>
      <w:r>
        <w:rPr>
          <w:rFonts w:asciiTheme="majorBidi" w:hAnsiTheme="majorBidi" w:cstheme="majorBidi"/>
          <w:kern w:val="0"/>
          <w:sz w:val="20"/>
          <w:szCs w:val="20"/>
        </w:rPr>
        <w:instrText>ADDIN CSL_CITATION {"citationItems":[{"id":"ITEM-1","itemData":{"DOI":"https://doi.org/10.1002/advs.202306560","ISSN":"2198-3844","abstract":"Abstract Point-of-care (POC) has the capacity to support low-cost, accurate and real-time actionable diagnostic data. Microneedle sensors have received considerable attention as an emerging technique to evolve blood-based diagnostics owing to their direct and painless access to a rich source of biomarkers from interstitial fluid. This review systematically summarizes the recent innovations in microneedle sensors with a particular focus on their utility in POC diagnostics and personalized medicine. The integration of various sensing techniques, mostly electrochemical and optical sensing, has been established in diverse architectures of ?lab-on-a-microneedle? platforms. Microneedle sensors with tailored geometries, mechanical flexibility, and biocompatibility are constructed with a variety of materials and fabrication methods. Microneedles categorized into four types: metals, inorganics, polymers, and hydrogels, have been elaborated with state-of-the-art bioengineering strategies for minimally invasive, continuous, and multiplexed sensing. Microneedle sensors have been employed to detect a wide range of biomarkers from electrolytes, metabolites, polysaccharides, nucleic acids, proteins to drugs. Insightful perspectives are outlined from biofluid, microneedles, biosensors, POC devices, and theragnostic instruments, which depict a bright future of the upcoming personalized and intelligent health management.","author":[{"dropping-particle":"","family":"Hu","given":"Yubing","non-dropping-particle":"","parse-names":false,"suffix":""},{"dropping-particle":"","family":"Chatzilakou","given":"Eleni","non-dropping-particle":"","parse-names":false,"suffix":""},{"dropping-particle":"","family":"Pan","given":"Zhisheng","non-dropping-particle":"","parse-names":false,"suffix":""},{"dropping-particle":"","family":"Traverso","given":"Giovanni","non-dropping-particle":"","parse-names":false,"suffix":""},{"dropping-particle":"","family":"Yetisen","given":"Ali K","non-dropping-particle":"","parse-names":false,"suffix":""}],"container-title":"Advanced Science","id":"ITEM-1","issue":"n/a","issued":{"date-parts":[["2024","1","15"]]},"page":"2306560","publisher":"John Wiley &amp; Sons, Ltd","title":"Microneedle Sensors for Point-of-Care Diagnostics","type":"article-journal","volume":"n/a"},"uris":["http://www.mendeley.com/documents/?uuid=d9312784-959b-488e-a673-24424ce5cae8"]}],"mendeley":{"formattedCitation":"(1)","plainTextFormattedCitation":"(1)","previouslyFormattedCitation":"(1)"},"properties":{"noteIndex":0},"schema":"https://github.com/citation-style-language/schema/raw/master/csl-citation.json"}</w:instrText>
      </w:r>
      <w:r>
        <w:rPr>
          <w:rFonts w:asciiTheme="majorBidi" w:hAnsiTheme="majorBidi" w:cstheme="majorBidi"/>
          <w:kern w:val="0"/>
          <w:sz w:val="20"/>
          <w:szCs w:val="20"/>
        </w:rPr>
        <w:fldChar w:fldCharType="separate"/>
      </w:r>
      <w:r w:rsidRPr="006415EF">
        <w:rPr>
          <w:rFonts w:asciiTheme="majorBidi" w:hAnsiTheme="majorBidi" w:cstheme="majorBidi"/>
          <w:noProof/>
          <w:kern w:val="0"/>
          <w:sz w:val="20"/>
          <w:szCs w:val="20"/>
        </w:rPr>
        <w:t>(1)</w:t>
      </w:r>
      <w:r>
        <w:rPr>
          <w:rFonts w:asciiTheme="majorBidi" w:hAnsiTheme="majorBidi" w:cstheme="majorBidi"/>
          <w:kern w:val="0"/>
          <w:sz w:val="20"/>
          <w:szCs w:val="20"/>
        </w:rPr>
        <w:fldChar w:fldCharType="end"/>
      </w:r>
      <w:r>
        <w:rPr>
          <w:rFonts w:asciiTheme="majorBidi" w:hAnsiTheme="majorBidi" w:cstheme="majorBidi"/>
          <w:kern w:val="0"/>
          <w:sz w:val="20"/>
          <w:szCs w:val="20"/>
        </w:rPr>
        <w:t xml:space="preserve"> </w:t>
      </w:r>
      <w:r w:rsidRPr="00B9287C">
        <w:rPr>
          <w:rFonts w:asciiTheme="majorBidi" w:hAnsiTheme="majorBidi" w:cstheme="majorBidi"/>
          <w:kern w:val="0"/>
          <w:sz w:val="20"/>
          <w:szCs w:val="20"/>
        </w:rPr>
        <w:t xml:space="preserve">Instead of sampling blood, which is traditionally an invasive approach for health monitoring, MN-based wearable sensors analyze the interstitial fluid (ISF) through skin. Here, we present a facile, low-cost, and cleanroom-free technique for fabricating MNAs using molds created by laser ablation. A variety of MNA shapes with different heights and tip diameters are easily fabricated by changing the speed and power of the laser system. Using the optimized molds, porous polydimethylsiloxane MNAs is fabricated via </w:t>
      </w:r>
      <w:r>
        <w:rPr>
          <w:rFonts w:asciiTheme="majorBidi" w:hAnsiTheme="majorBidi" w:cstheme="majorBidi"/>
          <w:kern w:val="0"/>
          <w:sz w:val="20"/>
          <w:szCs w:val="20"/>
        </w:rPr>
        <w:t xml:space="preserve">the </w:t>
      </w:r>
      <w:r w:rsidRPr="00B9287C">
        <w:rPr>
          <w:rFonts w:asciiTheme="majorBidi" w:hAnsiTheme="majorBidi" w:cstheme="majorBidi"/>
          <w:kern w:val="0"/>
          <w:sz w:val="20"/>
          <w:szCs w:val="20"/>
        </w:rPr>
        <w:t>salt leaching</w:t>
      </w:r>
      <w:r>
        <w:rPr>
          <w:rFonts w:asciiTheme="majorBidi" w:hAnsiTheme="majorBidi" w:cstheme="majorBidi"/>
          <w:kern w:val="0"/>
          <w:sz w:val="20"/>
          <w:szCs w:val="20"/>
        </w:rPr>
        <w:t xml:space="preserve"> approach</w:t>
      </w:r>
      <w:r w:rsidRPr="00B9287C">
        <w:rPr>
          <w:rFonts w:asciiTheme="majorBidi" w:hAnsiTheme="majorBidi" w:cstheme="majorBidi"/>
          <w:kern w:val="0"/>
          <w:sz w:val="20"/>
          <w:szCs w:val="20"/>
        </w:rPr>
        <w:t>.</w:t>
      </w:r>
      <w:r>
        <w:rPr>
          <w:rFonts w:asciiTheme="majorBidi" w:hAnsiTheme="majorBidi" w:cstheme="majorBidi"/>
          <w:kern w:val="0"/>
          <w:sz w:val="20"/>
          <w:szCs w:val="20"/>
        </w:rPr>
        <w:fldChar w:fldCharType="begin" w:fldLock="1"/>
      </w:r>
      <w:r>
        <w:rPr>
          <w:rFonts w:asciiTheme="majorBidi" w:hAnsiTheme="majorBidi" w:cstheme="majorBidi"/>
          <w:kern w:val="0"/>
          <w:sz w:val="20"/>
          <w:szCs w:val="20"/>
        </w:rPr>
        <w:instrText>ADDIN CSL_CITATION {"citationItems":[{"id":"ITEM-1","itemData":{"DOI":"10.1007/s10544-020-00532-1","ISBN":"1054402000532","ISSN":"15728781","PMID":"33141313","abstract":"Microneedle (MN) is a key technology of the biomedical engineering field due to its capability of accessing the biological information in a minimally invasive manner. One of the huge demands for next-generation healthcare monitoring is continuous monitoring, especially of blood glucose concentration. For this, MN should be kept inserted into the human skin for a certain period of time, enduring stresses induced by daily human motion and at the same time measuring biomarkers in ISF. However, conventional MNs for biosensing are not suitable for a long term insertion due to the rigid structure and biological risks of MN breakage. In this study, a novel MN structure is proposed and investigated by combining flexible “sponge-like” porous PDMS matrix and coating by biodissolving hyaluronic acid (HA). The fabricated porous MNs coated with HA show ideal mechanical characteristics, by which the MNs are rigid enough to penetrate the skin and become flexible after insertion into the skin. It is also shown that the MN array successfully extracts ISF in vitro and in vivo not by capillary action but by repeated compressions. The results show the applicability of the flexible MNs to continuous blood glucose monitoring.","author":[{"dropping-particle":"","family":"Takeuchi","given":"Kai","non-dropping-particle":"","parse-names":false,"suffix":""},{"dropping-particle":"","family":"Takama","given":"Nobuyuki","non-dropping-particle":"","parse-names":false,"suffix":""},{"dropping-particle":"","family":"Kinoshita","given":"Rie","non-dropping-particle":"","parse-names":false,"suffix":""},{"dropping-particle":"","family":"Okitsu","given":"Teru","non-dropping-particle":"","parse-names":false,"suffix":""},{"dropping-particle":"","family":"Kim","given":"Beomjoon","non-dropping-particle":"","parse-names":false,"suffix":""}],"container-title":"Biomedical Microdevices","id":"ITEM-1","issue":"4","issued":{"date-parts":[["2020"]]},"publisher":"Biomedical Microdevices","title":"Flexible and porous microneedles of PDMS for continuous glucose monitoring","type":"article-journal","volume":"22"},"uris":["http://www.mendeley.com/documents/?uuid=eae4a653-ac94-4877-bfab-cf04e9c42d34"]}],"mendeley":{"formattedCitation":"(2)","plainTextFormattedCitation":"(2)"},"properties":{"noteIndex":0},"schema":"https://github.com/citation-style-language/schema/raw/master/csl-citation.json"}</w:instrText>
      </w:r>
      <w:r>
        <w:rPr>
          <w:rFonts w:asciiTheme="majorBidi" w:hAnsiTheme="majorBidi" w:cstheme="majorBidi"/>
          <w:kern w:val="0"/>
          <w:sz w:val="20"/>
          <w:szCs w:val="20"/>
        </w:rPr>
        <w:fldChar w:fldCharType="separate"/>
      </w:r>
      <w:r w:rsidRPr="00723304">
        <w:rPr>
          <w:rFonts w:asciiTheme="majorBidi" w:hAnsiTheme="majorBidi" w:cstheme="majorBidi"/>
          <w:noProof/>
          <w:kern w:val="0"/>
          <w:sz w:val="20"/>
          <w:szCs w:val="20"/>
        </w:rPr>
        <w:t>(2)</w:t>
      </w:r>
      <w:r>
        <w:rPr>
          <w:rFonts w:asciiTheme="majorBidi" w:hAnsiTheme="majorBidi" w:cstheme="majorBidi"/>
          <w:kern w:val="0"/>
          <w:sz w:val="20"/>
          <w:szCs w:val="20"/>
        </w:rPr>
        <w:fldChar w:fldCharType="end"/>
      </w:r>
      <w:r>
        <w:rPr>
          <w:rFonts w:asciiTheme="majorBidi" w:hAnsiTheme="majorBidi" w:cstheme="majorBidi"/>
          <w:kern w:val="0"/>
          <w:sz w:val="20"/>
          <w:szCs w:val="20"/>
        </w:rPr>
        <w:t>The o</w:t>
      </w:r>
      <w:r w:rsidRPr="00B9287C">
        <w:rPr>
          <w:rFonts w:asciiTheme="majorBidi" w:hAnsiTheme="majorBidi" w:cstheme="majorBidi"/>
          <w:kern w:val="0"/>
          <w:sz w:val="20"/>
          <w:szCs w:val="20"/>
        </w:rPr>
        <w:t xml:space="preserve">ptimized microneedles have a height of ~980 μm and a tip diameter of ~20 μm, and are suitable to penetrate the dermis layer of skin to access ISF painlessly. As </w:t>
      </w:r>
      <w:r w:rsidR="00DF40B1" w:rsidRPr="00B9287C">
        <w:rPr>
          <w:rFonts w:asciiTheme="majorBidi" w:hAnsiTheme="majorBidi" w:cstheme="majorBidi"/>
          <w:kern w:val="0"/>
          <w:sz w:val="20"/>
          <w:szCs w:val="20"/>
        </w:rPr>
        <w:t>proof</w:t>
      </w:r>
      <w:r w:rsidRPr="00B9287C">
        <w:rPr>
          <w:rFonts w:asciiTheme="majorBidi" w:hAnsiTheme="majorBidi" w:cstheme="majorBidi"/>
          <w:kern w:val="0"/>
          <w:sz w:val="20"/>
          <w:szCs w:val="20"/>
        </w:rPr>
        <w:t xml:space="preserve"> of concept, we developed an integrated sensor-MNA chip for detection of uric acid (UA) and tyrosine (Tyr) simultaneousl</w:t>
      </w:r>
      <w:r>
        <w:rPr>
          <w:rFonts w:asciiTheme="majorBidi" w:hAnsiTheme="majorBidi" w:cstheme="majorBidi"/>
          <w:kern w:val="0"/>
          <w:sz w:val="20"/>
          <w:szCs w:val="20"/>
        </w:rPr>
        <w:t>y</w:t>
      </w:r>
      <w:r w:rsidRPr="00B9287C">
        <w:rPr>
          <w:rFonts w:asciiTheme="majorBidi" w:hAnsiTheme="majorBidi" w:cstheme="majorBidi"/>
          <w:kern w:val="0"/>
          <w:sz w:val="20"/>
          <w:szCs w:val="20"/>
        </w:rPr>
        <w:t>. The biodevice is constructed using a low-cost process where the MNA is attached to a printed electrochemical sensor via a lithography-free microfluidic channel. Our preliminary data show</w:t>
      </w:r>
      <w:r>
        <w:rPr>
          <w:rFonts w:asciiTheme="majorBidi" w:hAnsiTheme="majorBidi" w:cstheme="majorBidi"/>
          <w:kern w:val="0"/>
          <w:sz w:val="20"/>
          <w:szCs w:val="20"/>
        </w:rPr>
        <w:t>s</w:t>
      </w:r>
      <w:r w:rsidRPr="00B9287C">
        <w:rPr>
          <w:rFonts w:asciiTheme="majorBidi" w:hAnsiTheme="majorBidi" w:cstheme="majorBidi"/>
          <w:kern w:val="0"/>
          <w:sz w:val="20"/>
          <w:szCs w:val="20"/>
        </w:rPr>
        <w:t xml:space="preserve"> that the developed sensor-MNA system can successfully extract and detect UA and Tyr from an agar-based skin model. </w:t>
      </w:r>
      <w:r>
        <w:rPr>
          <w:rFonts w:asciiTheme="majorBidi" w:hAnsiTheme="majorBidi" w:cstheme="majorBidi"/>
          <w:kern w:val="0"/>
          <w:sz w:val="20"/>
          <w:szCs w:val="20"/>
        </w:rPr>
        <w:t xml:space="preserve">To extract fluids from ISF more efficiently, further optimization of the MNA structure, e.g. based on hydrogels with </w:t>
      </w:r>
      <w:proofErr w:type="spellStart"/>
      <w:r w:rsidRPr="00FD153D">
        <w:rPr>
          <w:rFonts w:asciiTheme="majorBidi" w:hAnsiTheme="majorBidi" w:cstheme="majorBidi"/>
          <w:kern w:val="0"/>
          <w:sz w:val="20"/>
          <w:szCs w:val="20"/>
        </w:rPr>
        <w:t>methacrylated</w:t>
      </w:r>
      <w:proofErr w:type="spellEnd"/>
      <w:r w:rsidRPr="00FD153D">
        <w:rPr>
          <w:rFonts w:asciiTheme="majorBidi" w:hAnsiTheme="majorBidi" w:cstheme="majorBidi"/>
          <w:kern w:val="0"/>
          <w:sz w:val="20"/>
          <w:szCs w:val="20"/>
        </w:rPr>
        <w:t xml:space="preserve"> hyaluronic aci</w:t>
      </w:r>
      <w:r>
        <w:rPr>
          <w:rFonts w:asciiTheme="majorBidi" w:hAnsiTheme="majorBidi" w:cstheme="majorBidi"/>
          <w:kern w:val="0"/>
          <w:sz w:val="20"/>
          <w:szCs w:val="20"/>
        </w:rPr>
        <w:t xml:space="preserve">d and porous polylactic acid, is under investigation. In addition to MNA optimization, future work includes integration of the electrochemical sensors with physical sensors (such as temperature and pH) and developing sensor array for multiplexed biochemical sensing. </w:t>
      </w:r>
    </w:p>
    <w:p w14:paraId="3A2FB9B7" w14:textId="77777777" w:rsidR="00411A1C" w:rsidRDefault="00411A1C" w:rsidP="00411A1C">
      <w:pPr>
        <w:rPr>
          <w:rFonts w:asciiTheme="majorBidi" w:hAnsiTheme="majorBidi" w:cstheme="majorBidi"/>
          <w:kern w:val="0"/>
          <w:sz w:val="20"/>
          <w:szCs w:val="20"/>
        </w:rPr>
      </w:pPr>
    </w:p>
    <w:p w14:paraId="53F47C11" w14:textId="77777777" w:rsidR="00411A1C" w:rsidRPr="00434368" w:rsidRDefault="00411A1C" w:rsidP="00411A1C">
      <w:pPr>
        <w:rPr>
          <w:rFonts w:asciiTheme="majorBidi" w:hAnsiTheme="majorBidi" w:cstheme="majorBidi"/>
          <w:b/>
          <w:bCs/>
          <w:sz w:val="20"/>
          <w:szCs w:val="20"/>
        </w:rPr>
      </w:pPr>
      <w:r w:rsidRPr="00434368">
        <w:rPr>
          <w:rFonts w:asciiTheme="majorBidi" w:hAnsiTheme="majorBidi" w:cstheme="majorBidi"/>
          <w:b/>
          <w:bCs/>
          <w:sz w:val="20"/>
          <w:szCs w:val="20"/>
        </w:rPr>
        <w:t>References:</w:t>
      </w:r>
    </w:p>
    <w:p w14:paraId="6548892A" w14:textId="77777777" w:rsidR="00411A1C" w:rsidRPr="00723304" w:rsidRDefault="00411A1C" w:rsidP="00411A1C">
      <w:pPr>
        <w:widowControl w:val="0"/>
        <w:autoSpaceDE w:val="0"/>
        <w:autoSpaceDN w:val="0"/>
        <w:adjustRightInd w:val="0"/>
        <w:spacing w:line="240" w:lineRule="auto"/>
        <w:ind w:left="640" w:hanging="640"/>
        <w:rPr>
          <w:rFonts w:ascii="Times New Roman" w:hAnsi="Times New Roman" w:cs="Times New Roman"/>
          <w:noProof/>
          <w:kern w:val="0"/>
          <w:sz w:val="20"/>
          <w:szCs w:val="24"/>
        </w:rPr>
      </w:pPr>
      <w:r>
        <w:rPr>
          <w:rFonts w:asciiTheme="majorBidi" w:hAnsiTheme="majorBidi" w:cstheme="majorBidi"/>
          <w:sz w:val="20"/>
          <w:szCs w:val="20"/>
        </w:rPr>
        <w:fldChar w:fldCharType="begin" w:fldLock="1"/>
      </w:r>
      <w:r>
        <w:rPr>
          <w:rFonts w:asciiTheme="majorBidi" w:hAnsiTheme="majorBidi" w:cstheme="majorBidi"/>
          <w:sz w:val="20"/>
          <w:szCs w:val="20"/>
        </w:rPr>
        <w:instrText xml:space="preserve">ADDIN Mendeley Bibliography CSL_BIBLIOGRAPHY </w:instrText>
      </w:r>
      <w:r>
        <w:rPr>
          <w:rFonts w:asciiTheme="majorBidi" w:hAnsiTheme="majorBidi" w:cstheme="majorBidi"/>
          <w:sz w:val="20"/>
          <w:szCs w:val="20"/>
        </w:rPr>
        <w:fldChar w:fldCharType="separate"/>
      </w:r>
      <w:r w:rsidRPr="00723304">
        <w:rPr>
          <w:rFonts w:ascii="Times New Roman" w:hAnsi="Times New Roman" w:cs="Times New Roman"/>
          <w:noProof/>
          <w:kern w:val="0"/>
          <w:sz w:val="20"/>
          <w:szCs w:val="24"/>
        </w:rPr>
        <w:t xml:space="preserve">1. </w:t>
      </w:r>
      <w:r w:rsidRPr="00723304">
        <w:rPr>
          <w:rFonts w:ascii="Times New Roman" w:hAnsi="Times New Roman" w:cs="Times New Roman"/>
          <w:noProof/>
          <w:kern w:val="0"/>
          <w:sz w:val="20"/>
          <w:szCs w:val="24"/>
        </w:rPr>
        <w:tab/>
        <w:t>Hu Y, Chatzilakou E, Pan Z, Traverso G, Yetisen AK. Microneedle Sensors for Point-of-Care Diagnostics. Adv Sci [Internet]. 2024 Jan 15;n/a(n/a):2306560. Available from: https://doi.org/10.1002/advs.202306560</w:t>
      </w:r>
    </w:p>
    <w:p w14:paraId="2AC30D2A" w14:textId="77777777" w:rsidR="00411A1C" w:rsidRPr="00723304" w:rsidRDefault="00411A1C" w:rsidP="00411A1C">
      <w:pPr>
        <w:widowControl w:val="0"/>
        <w:autoSpaceDE w:val="0"/>
        <w:autoSpaceDN w:val="0"/>
        <w:adjustRightInd w:val="0"/>
        <w:spacing w:line="240" w:lineRule="auto"/>
        <w:ind w:left="640" w:hanging="640"/>
        <w:rPr>
          <w:rFonts w:ascii="Times New Roman" w:hAnsi="Times New Roman" w:cs="Times New Roman"/>
          <w:noProof/>
          <w:sz w:val="20"/>
        </w:rPr>
      </w:pPr>
      <w:r w:rsidRPr="00723304">
        <w:rPr>
          <w:rFonts w:ascii="Times New Roman" w:hAnsi="Times New Roman" w:cs="Times New Roman"/>
          <w:noProof/>
          <w:kern w:val="0"/>
          <w:sz w:val="20"/>
          <w:szCs w:val="24"/>
        </w:rPr>
        <w:t xml:space="preserve">2. </w:t>
      </w:r>
      <w:r w:rsidRPr="00723304">
        <w:rPr>
          <w:rFonts w:ascii="Times New Roman" w:hAnsi="Times New Roman" w:cs="Times New Roman"/>
          <w:noProof/>
          <w:kern w:val="0"/>
          <w:sz w:val="20"/>
          <w:szCs w:val="24"/>
        </w:rPr>
        <w:tab/>
        <w:t xml:space="preserve">Takeuchi K, Takama N, Kinoshita R, Okitsu T, Kim B. Flexible and porous microneedles of PDMS for continuous glucose monitoring. Biomed Microdevices. 2020;22(4). </w:t>
      </w:r>
    </w:p>
    <w:p w14:paraId="17DCD63B" w14:textId="77777777" w:rsidR="00411A1C" w:rsidRPr="006415EF" w:rsidRDefault="00411A1C" w:rsidP="00411A1C">
      <w:pPr>
        <w:rPr>
          <w:rFonts w:asciiTheme="majorBidi" w:hAnsiTheme="majorBidi" w:cstheme="majorBidi"/>
          <w:sz w:val="20"/>
          <w:szCs w:val="20"/>
        </w:rPr>
      </w:pPr>
      <w:r>
        <w:rPr>
          <w:rFonts w:asciiTheme="majorBidi" w:hAnsiTheme="majorBidi" w:cstheme="majorBidi"/>
          <w:sz w:val="20"/>
          <w:szCs w:val="20"/>
        </w:rPr>
        <w:fldChar w:fldCharType="end"/>
      </w:r>
    </w:p>
    <w:p w14:paraId="253CEA6C" w14:textId="77777777" w:rsidR="00411A1C" w:rsidRDefault="00411A1C"/>
    <w:sectPr w:rsidR="00411A1C" w:rsidSect="000B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8C"/>
    <w:rsid w:val="00012064"/>
    <w:rsid w:val="000B1115"/>
    <w:rsid w:val="00150774"/>
    <w:rsid w:val="0037743C"/>
    <w:rsid w:val="00411A1C"/>
    <w:rsid w:val="004E451E"/>
    <w:rsid w:val="00613F1E"/>
    <w:rsid w:val="006D1324"/>
    <w:rsid w:val="007176FB"/>
    <w:rsid w:val="00767B8C"/>
    <w:rsid w:val="00782D0B"/>
    <w:rsid w:val="00810302"/>
    <w:rsid w:val="00814D40"/>
    <w:rsid w:val="008B218E"/>
    <w:rsid w:val="0090625A"/>
    <w:rsid w:val="009534D4"/>
    <w:rsid w:val="00953EBC"/>
    <w:rsid w:val="00A0306E"/>
    <w:rsid w:val="00CD49B9"/>
    <w:rsid w:val="00CF629F"/>
    <w:rsid w:val="00D06C3C"/>
    <w:rsid w:val="00D20D63"/>
    <w:rsid w:val="00D42E23"/>
    <w:rsid w:val="00D86DF3"/>
    <w:rsid w:val="00D94212"/>
    <w:rsid w:val="00DA6AC8"/>
    <w:rsid w:val="00DF40B1"/>
    <w:rsid w:val="00E91092"/>
    <w:rsid w:val="00EB1901"/>
    <w:rsid w:val="00F66043"/>
    <w:rsid w:val="3A606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EFDB"/>
  <w15:chartTrackingRefBased/>
  <w15:docId w15:val="{37D2D5BB-7F79-42DE-A364-958C7005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0D63"/>
    <w:rPr>
      <w:sz w:val="16"/>
      <w:szCs w:val="16"/>
    </w:rPr>
  </w:style>
  <w:style w:type="paragraph" w:styleId="CommentText">
    <w:name w:val="annotation text"/>
    <w:basedOn w:val="Normal"/>
    <w:link w:val="CommentTextChar"/>
    <w:uiPriority w:val="99"/>
    <w:unhideWhenUsed/>
    <w:rsid w:val="00D20D63"/>
    <w:pPr>
      <w:spacing w:line="240" w:lineRule="auto"/>
    </w:pPr>
    <w:rPr>
      <w:sz w:val="20"/>
      <w:szCs w:val="20"/>
    </w:rPr>
  </w:style>
  <w:style w:type="character" w:customStyle="1" w:styleId="CommentTextChar">
    <w:name w:val="Comment Text Char"/>
    <w:basedOn w:val="DefaultParagraphFont"/>
    <w:link w:val="CommentText"/>
    <w:uiPriority w:val="99"/>
    <w:rsid w:val="00D20D63"/>
    <w:rPr>
      <w:sz w:val="20"/>
      <w:szCs w:val="20"/>
    </w:rPr>
  </w:style>
  <w:style w:type="paragraph" w:customStyle="1" w:styleId="paragraph">
    <w:name w:val="paragraph"/>
    <w:basedOn w:val="Normal"/>
    <w:rsid w:val="00D2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20D63"/>
  </w:style>
  <w:style w:type="character" w:customStyle="1" w:styleId="eop">
    <w:name w:val="eop"/>
    <w:basedOn w:val="DefaultParagraphFont"/>
    <w:rsid w:val="00D20D63"/>
  </w:style>
  <w:style w:type="character" w:customStyle="1" w:styleId="scxw113134191">
    <w:name w:val="scxw113134191"/>
    <w:basedOn w:val="DefaultParagraphFont"/>
    <w:rsid w:val="00D20D63"/>
  </w:style>
  <w:style w:type="character" w:styleId="Mention">
    <w:name w:val="Mention"/>
    <w:basedOn w:val="DefaultParagraphFont"/>
    <w:uiPriority w:val="99"/>
    <w:unhideWhenUsed/>
    <w:rsid w:val="00D20D6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7176FB"/>
    <w:rPr>
      <w:b/>
      <w:bCs/>
    </w:rPr>
  </w:style>
  <w:style w:type="character" w:customStyle="1" w:styleId="CommentSubjectChar">
    <w:name w:val="Comment Subject Char"/>
    <w:basedOn w:val="CommentTextChar"/>
    <w:link w:val="CommentSubject"/>
    <w:uiPriority w:val="99"/>
    <w:semiHidden/>
    <w:rsid w:val="007176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44A8533BD45419E9426C57E8AFA28" ma:contentTypeVersion="14" ma:contentTypeDescription="Create a new document." ma:contentTypeScope="" ma:versionID="d55ebefa40e044bbe6ce16ea44a784e6">
  <xsd:schema xmlns:xsd="http://www.w3.org/2001/XMLSchema" xmlns:xs="http://www.w3.org/2001/XMLSchema" xmlns:p="http://schemas.microsoft.com/office/2006/metadata/properties" xmlns:ns2="02886d08-9b3d-4417-b5ea-e0740c308c99" xmlns:ns3="9c43c82a-acb9-4d02-bb12-3c333f24686a" targetNamespace="http://schemas.microsoft.com/office/2006/metadata/properties" ma:root="true" ma:fieldsID="b8e453540af0a63523d4b43eb22155a1" ns2:_="" ns3:_="">
    <xsd:import namespace="02886d08-9b3d-4417-b5ea-e0740c308c99"/>
    <xsd:import namespace="9c43c82a-acb9-4d02-bb12-3c333f246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86d08-9b3d-4417-b5ea-e0740c308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3c82a-acb9-4d02-bb12-3c333f2468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86d08-9b3d-4417-b5ea-e0740c308c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C2C6C-E990-4C9C-8CEF-81FFCA61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86d08-9b3d-4417-b5ea-e0740c308c99"/>
    <ds:schemaRef ds:uri="9c43c82a-acb9-4d02-bb12-3c333f246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45E5F-116B-442C-B3F0-8D8E9D51E20A}">
  <ds:schemaRefs>
    <ds:schemaRef ds:uri="http://schemas.openxmlformats.org/officeDocument/2006/bibliography"/>
  </ds:schemaRefs>
</ds:datastoreItem>
</file>

<file path=customXml/itemProps3.xml><?xml version="1.0" encoding="utf-8"?>
<ds:datastoreItem xmlns:ds="http://schemas.openxmlformats.org/officeDocument/2006/customXml" ds:itemID="{3ACD48B9-B7C1-421F-9297-D34BCE2B0823}">
  <ds:schemaRefs>
    <ds:schemaRef ds:uri="http://schemas.microsoft.com/sharepoint/v3/contenttype/forms"/>
  </ds:schemaRefs>
</ds:datastoreItem>
</file>

<file path=customXml/itemProps4.xml><?xml version="1.0" encoding="utf-8"?>
<ds:datastoreItem xmlns:ds="http://schemas.openxmlformats.org/officeDocument/2006/customXml" ds:itemID="{148B36E7-78F4-40AD-BDE4-4092FB2DFE32}">
  <ds:schemaRefs>
    <ds:schemaRef ds:uri="http://schemas.microsoft.com/office/2006/metadata/properties"/>
    <ds:schemaRef ds:uri="http://schemas.microsoft.com/office/infopath/2007/PartnerControls"/>
    <ds:schemaRef ds:uri="02886d08-9b3d-4417-b5ea-e0740c308c9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1166</Words>
  <Characters>6649</Characters>
  <Application>Microsoft Office Word</Application>
  <DocSecurity>4</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Asgharian, Heshmatollah</dc:creator>
  <cp:keywords/>
  <dc:description/>
  <cp:lastModifiedBy>Asgharian, Heshmatollah</cp:lastModifiedBy>
  <cp:revision>15</cp:revision>
  <dcterms:created xsi:type="dcterms:W3CDTF">2024-02-06T01:03:00Z</dcterms:created>
  <dcterms:modified xsi:type="dcterms:W3CDTF">2024-02-06T05:21:00Z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0x01010050F44A8533BD45419E9426C57E8AFA28</vt:lpwstr>
  </property>
  <property fmtid="{D5CDD505-2E9C-101B-9397-08002B2CF9AE}" pid="3" name="MediaServiceImageTags">
    <vt:lpwstr/>
  </property>
</Properties>
</file>