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25E3" w14:textId="2F1D1C2A" w:rsidR="00F6570F" w:rsidRDefault="00F6570F" w:rsidP="00F6570F">
      <w:pPr>
        <w:adjustRightInd w:val="0"/>
        <w:snapToGrid w:val="0"/>
        <w:spacing w:line="360" w:lineRule="auto"/>
        <w:jc w:val="left"/>
        <w:rPr>
          <w:rFonts w:ascii="Times New Roman" w:hAnsi="Times New Roman" w:cs="Times New Roman"/>
          <w:b/>
          <w:bCs/>
          <w:sz w:val="24"/>
        </w:rPr>
      </w:pPr>
      <w:r w:rsidRPr="00C5103B">
        <w:rPr>
          <w:rFonts w:ascii="Times New Roman" w:hAnsi="Times New Roman" w:cs="Times New Roman"/>
          <w:b/>
          <w:bCs/>
          <w:sz w:val="24"/>
        </w:rPr>
        <w:t xml:space="preserve">Macroporous hydrogel matrix-supported in situ formation of injectable </w:t>
      </w:r>
      <w:r w:rsidR="00862A3F">
        <w:rPr>
          <w:rFonts w:ascii="Times New Roman" w:hAnsi="Times New Roman" w:cs="Times New Roman"/>
          <w:b/>
          <w:bCs/>
          <w:sz w:val="24"/>
        </w:rPr>
        <w:t>ECM</w:t>
      </w:r>
      <w:r w:rsidRPr="00C5103B">
        <w:rPr>
          <w:rFonts w:ascii="Times New Roman" w:hAnsi="Times New Roman" w:cs="Times New Roman"/>
          <w:b/>
          <w:bCs/>
          <w:sz w:val="24"/>
        </w:rPr>
        <w:t>-like hydrogel as the carrier of growth factors and living cells</w:t>
      </w:r>
    </w:p>
    <w:p w14:paraId="761236A6" w14:textId="77777777" w:rsidR="00F6570F" w:rsidRDefault="00F6570F" w:rsidP="00F6570F">
      <w:pPr>
        <w:adjustRightInd w:val="0"/>
        <w:snapToGrid w:val="0"/>
        <w:spacing w:line="360" w:lineRule="auto"/>
        <w:jc w:val="left"/>
        <w:rPr>
          <w:rFonts w:ascii="Times New Roman" w:hAnsi="Times New Roman" w:cs="Times New Roman"/>
          <w:b/>
          <w:bCs/>
          <w:i/>
          <w:iCs/>
          <w:color w:val="808080" w:themeColor="background1" w:themeShade="80"/>
          <w:sz w:val="24"/>
        </w:rPr>
      </w:pPr>
    </w:p>
    <w:p w14:paraId="33C77F8F" w14:textId="43A8C47D" w:rsidR="00F6570F" w:rsidRPr="00573EE6" w:rsidRDefault="00F6570F" w:rsidP="00F6570F">
      <w:pPr>
        <w:adjustRightInd w:val="0"/>
        <w:snapToGrid w:val="0"/>
        <w:spacing w:line="360" w:lineRule="auto"/>
        <w:jc w:val="left"/>
        <w:rPr>
          <w:rFonts w:ascii="Times New Roman" w:eastAsia="SimSun" w:hAnsi="Times New Roman" w:cs="Times New Roman"/>
          <w:b/>
          <w:bCs/>
          <w:color w:val="000000"/>
          <w:kern w:val="0"/>
          <w:sz w:val="24"/>
          <w:vertAlign w:val="superscript"/>
        </w:rPr>
      </w:pPr>
      <w:r>
        <w:rPr>
          <w:rFonts w:ascii="Times New Roman" w:eastAsia="SimSun" w:hAnsi="Times New Roman" w:cs="Times New Roman"/>
          <w:b/>
          <w:bCs/>
          <w:color w:val="000000"/>
          <w:kern w:val="0"/>
          <w:sz w:val="24"/>
        </w:rPr>
        <w:t>Connie Wen</w:t>
      </w:r>
      <w:r w:rsidRPr="00573EE6">
        <w:rPr>
          <w:rFonts w:ascii="Times New Roman" w:eastAsia="SimSun" w:hAnsi="Times New Roman" w:cs="Times New Roman"/>
          <w:b/>
          <w:bCs/>
          <w:color w:val="000000"/>
          <w:kern w:val="0"/>
          <w:sz w:val="24"/>
          <w:vertAlign w:val="superscript"/>
        </w:rPr>
        <w:t>†</w:t>
      </w:r>
      <w:r>
        <w:rPr>
          <w:rFonts w:ascii="Times New Roman" w:eastAsia="SimSun" w:hAnsi="Times New Roman" w:cs="Times New Roman"/>
          <w:b/>
          <w:bCs/>
          <w:color w:val="000000"/>
          <w:kern w:val="0"/>
          <w:sz w:val="24"/>
          <w:vertAlign w:val="superscript"/>
        </w:rPr>
        <w:t>1</w:t>
      </w:r>
      <w:r>
        <w:rPr>
          <w:rFonts w:ascii="Times New Roman" w:eastAsia="SimSun" w:hAnsi="Times New Roman" w:cs="Times New Roman"/>
          <w:b/>
          <w:bCs/>
          <w:color w:val="000000"/>
          <w:kern w:val="0"/>
          <w:sz w:val="24"/>
        </w:rPr>
        <w:t xml:space="preserve">, </w:t>
      </w:r>
      <w:r w:rsidR="00A0372A">
        <w:rPr>
          <w:rFonts w:ascii="Times New Roman" w:eastAsia="SimSun" w:hAnsi="Times New Roman" w:cs="Times New Roman"/>
          <w:b/>
          <w:bCs/>
          <w:color w:val="000000"/>
          <w:kern w:val="0"/>
          <w:sz w:val="24"/>
        </w:rPr>
        <w:t>Lidya Abune</w:t>
      </w:r>
      <w:r w:rsidR="00A0372A" w:rsidRPr="00573EE6">
        <w:rPr>
          <w:rFonts w:ascii="Times New Roman" w:eastAsia="SimSun" w:hAnsi="Times New Roman" w:cs="Times New Roman"/>
          <w:b/>
          <w:bCs/>
          <w:color w:val="000000"/>
          <w:kern w:val="0"/>
          <w:sz w:val="24"/>
          <w:vertAlign w:val="superscript"/>
        </w:rPr>
        <w:t>†</w:t>
      </w:r>
      <w:r w:rsidR="00A0372A">
        <w:rPr>
          <w:rFonts w:ascii="Times New Roman" w:eastAsia="SimSun" w:hAnsi="Times New Roman" w:cs="Times New Roman"/>
          <w:b/>
          <w:bCs/>
          <w:color w:val="000000"/>
          <w:kern w:val="0"/>
          <w:sz w:val="24"/>
          <w:vertAlign w:val="superscript"/>
        </w:rPr>
        <w:t>1</w:t>
      </w:r>
      <w:r w:rsidR="0024421F">
        <w:rPr>
          <w:rFonts w:ascii="Times New Roman" w:eastAsia="SimSun" w:hAnsi="Times New Roman" w:cs="Times New Roman"/>
          <w:b/>
          <w:bCs/>
          <w:color w:val="000000"/>
          <w:kern w:val="0"/>
          <w:sz w:val="24"/>
        </w:rPr>
        <w:t>, K</w:t>
      </w:r>
      <w:r>
        <w:rPr>
          <w:rFonts w:ascii="Times New Roman" w:eastAsia="SimSun" w:hAnsi="Times New Roman" w:cs="Times New Roman"/>
          <w:b/>
          <w:bCs/>
          <w:color w:val="000000"/>
          <w:kern w:val="0"/>
          <w:sz w:val="24"/>
        </w:rPr>
        <w:t>yungsene Lee</w:t>
      </w:r>
      <w:r>
        <w:rPr>
          <w:rFonts w:ascii="Times New Roman" w:eastAsia="SimSun" w:hAnsi="Times New Roman" w:cs="Times New Roman"/>
          <w:b/>
          <w:bCs/>
          <w:color w:val="000000"/>
          <w:kern w:val="0"/>
          <w:sz w:val="24"/>
          <w:vertAlign w:val="superscript"/>
        </w:rPr>
        <w:t>1</w:t>
      </w:r>
      <w:r>
        <w:rPr>
          <w:rFonts w:ascii="Times New Roman" w:eastAsia="SimSun" w:hAnsi="Times New Roman" w:cs="Times New Roman"/>
          <w:b/>
          <w:bCs/>
          <w:color w:val="000000"/>
          <w:kern w:val="0"/>
          <w:sz w:val="24"/>
        </w:rPr>
        <w:t>, Xuelin Wang</w:t>
      </w:r>
      <w:r>
        <w:rPr>
          <w:rFonts w:ascii="Times New Roman" w:eastAsia="SimSun" w:hAnsi="Times New Roman" w:cs="Times New Roman"/>
          <w:b/>
          <w:bCs/>
          <w:color w:val="000000"/>
          <w:kern w:val="0"/>
          <w:sz w:val="24"/>
          <w:vertAlign w:val="superscript"/>
        </w:rPr>
        <w:t>1</w:t>
      </w:r>
      <w:r>
        <w:rPr>
          <w:rFonts w:ascii="Times New Roman" w:eastAsia="SimSun" w:hAnsi="Times New Roman" w:cs="Times New Roman"/>
          <w:b/>
          <w:bCs/>
          <w:color w:val="000000"/>
          <w:kern w:val="0"/>
          <w:sz w:val="24"/>
        </w:rPr>
        <w:t>, Dino Ravnic</w:t>
      </w:r>
      <w:r>
        <w:rPr>
          <w:rFonts w:ascii="Times New Roman" w:eastAsia="SimSun" w:hAnsi="Times New Roman" w:cs="Times New Roman"/>
          <w:b/>
          <w:bCs/>
          <w:color w:val="000000"/>
          <w:kern w:val="0"/>
          <w:sz w:val="24"/>
          <w:vertAlign w:val="superscript"/>
        </w:rPr>
        <w:t>2</w:t>
      </w:r>
      <w:r>
        <w:rPr>
          <w:rFonts w:ascii="Times New Roman" w:eastAsia="SimSun" w:hAnsi="Times New Roman" w:cs="Times New Roman"/>
          <w:b/>
          <w:bCs/>
          <w:color w:val="000000"/>
          <w:kern w:val="0"/>
          <w:sz w:val="24"/>
        </w:rPr>
        <w:t>, Yong Wang</w:t>
      </w:r>
      <w:r>
        <w:rPr>
          <w:rFonts w:ascii="Times New Roman" w:eastAsia="SimSun" w:hAnsi="Times New Roman" w:cs="Times New Roman"/>
          <w:b/>
          <w:bCs/>
          <w:color w:val="000000"/>
          <w:kern w:val="0"/>
          <w:sz w:val="24"/>
          <w:vertAlign w:val="superscript"/>
        </w:rPr>
        <w:t>1,</w:t>
      </w:r>
    </w:p>
    <w:p w14:paraId="0775512B" w14:textId="77777777" w:rsidR="00F6570F" w:rsidRDefault="00F6570F" w:rsidP="00F6570F">
      <w:pPr>
        <w:adjustRightInd w:val="0"/>
        <w:snapToGrid w:val="0"/>
        <w:spacing w:line="360" w:lineRule="auto"/>
        <w:jc w:val="left"/>
        <w:rPr>
          <w:rFonts w:ascii="Times New Roman" w:eastAsia="SimSun" w:hAnsi="Times New Roman" w:cs="Times New Roman"/>
          <w:b/>
          <w:bCs/>
          <w:color w:val="000000"/>
          <w:kern w:val="0"/>
          <w:sz w:val="24"/>
          <w:vertAlign w:val="superscript"/>
        </w:rPr>
      </w:pPr>
    </w:p>
    <w:p w14:paraId="3AB78549" w14:textId="77777777" w:rsidR="00F6570F" w:rsidRDefault="00F6570F" w:rsidP="00F6570F">
      <w:pPr>
        <w:adjustRightInd w:val="0"/>
        <w:snapToGrid w:val="0"/>
        <w:spacing w:line="360" w:lineRule="auto"/>
        <w:jc w:val="left"/>
        <w:rPr>
          <w:rFonts w:ascii="Times New Roman" w:eastAsia="Times New Roman" w:hAnsi="Times New Roman" w:cs="Times New Roman"/>
          <w:iCs/>
          <w:color w:val="190F13"/>
          <w:sz w:val="24"/>
        </w:rPr>
      </w:pPr>
      <w:r>
        <w:rPr>
          <w:rFonts w:ascii="Times New Roman" w:eastAsia="SimSun" w:hAnsi="Times New Roman" w:cs="Times New Roman"/>
          <w:iCs/>
          <w:color w:val="190F13"/>
          <w:sz w:val="24"/>
          <w:vertAlign w:val="superscript"/>
        </w:rPr>
        <w:t>1</w:t>
      </w:r>
      <w:r>
        <w:rPr>
          <w:rFonts w:ascii="Times New Roman" w:eastAsia="SimSun" w:hAnsi="Times New Roman" w:cs="Times New Roman"/>
          <w:iCs/>
          <w:color w:val="190F13"/>
          <w:sz w:val="24"/>
        </w:rPr>
        <w:t>Department of Biomedical Engineering</w:t>
      </w:r>
      <w:r>
        <w:rPr>
          <w:rFonts w:ascii="Times New Roman" w:eastAsia="Times New Roman" w:hAnsi="Times New Roman" w:cs="Times New Roman"/>
          <w:iCs/>
          <w:color w:val="190F13"/>
          <w:sz w:val="24"/>
        </w:rPr>
        <w:t xml:space="preserve">, The Pennsylvania State University, 16802, USA. </w:t>
      </w:r>
    </w:p>
    <w:p w14:paraId="1E97161D" w14:textId="2D8110DF" w:rsidR="00F6570F" w:rsidRDefault="00F6570F" w:rsidP="00F6570F">
      <w:pPr>
        <w:rPr>
          <w:rFonts w:ascii="Times New Roman" w:eastAsia="Times New Roman" w:hAnsi="Times New Roman" w:cs="Times New Roman"/>
          <w:iCs/>
          <w:color w:val="190F13"/>
          <w:sz w:val="24"/>
        </w:rPr>
      </w:pPr>
      <w:r>
        <w:rPr>
          <w:rFonts w:ascii="Times New Roman" w:eastAsia="SimSun" w:hAnsi="Times New Roman" w:cs="Times New Roman"/>
          <w:iCs/>
          <w:color w:val="190F13"/>
          <w:sz w:val="24"/>
          <w:vertAlign w:val="superscript"/>
        </w:rPr>
        <w:t>2</w:t>
      </w:r>
      <w:r>
        <w:rPr>
          <w:rFonts w:ascii="Times New Roman" w:eastAsia="SimSun" w:hAnsi="Times New Roman" w:cs="Times New Roman"/>
          <w:iCs/>
          <w:color w:val="190F13"/>
          <w:sz w:val="24"/>
        </w:rPr>
        <w:t>Department of Surgery</w:t>
      </w:r>
      <w:r>
        <w:rPr>
          <w:rFonts w:ascii="Times New Roman" w:eastAsia="Times New Roman" w:hAnsi="Times New Roman" w:cs="Times New Roman"/>
          <w:iCs/>
          <w:color w:val="190F13"/>
          <w:sz w:val="24"/>
        </w:rPr>
        <w:t xml:space="preserve">, Penn State Health Milton S. Hershey Medical Center, Hershey, </w:t>
      </w:r>
      <w:r>
        <w:rPr>
          <w:rFonts w:ascii="Times New Roman" w:eastAsia="SimSun" w:hAnsi="Times New Roman" w:cs="Times New Roman"/>
          <w:iCs/>
          <w:color w:val="190F13"/>
          <w:sz w:val="24"/>
        </w:rPr>
        <w:t>17033, USA</w:t>
      </w:r>
      <w:r>
        <w:rPr>
          <w:rFonts w:ascii="Times New Roman" w:eastAsia="Times New Roman" w:hAnsi="Times New Roman" w:cs="Times New Roman"/>
          <w:iCs/>
          <w:color w:val="190F13"/>
          <w:sz w:val="24"/>
        </w:rPr>
        <w:t>.</w:t>
      </w:r>
    </w:p>
    <w:p w14:paraId="261B2AB7" w14:textId="77777777" w:rsidR="00F6570F" w:rsidRDefault="00F6570F" w:rsidP="00F6570F">
      <w:pPr>
        <w:rPr>
          <w:rFonts w:ascii="Times New Roman" w:eastAsia="Times New Roman" w:hAnsi="Times New Roman" w:cs="Times New Roman"/>
          <w:iCs/>
          <w:color w:val="190F13"/>
          <w:sz w:val="24"/>
        </w:rPr>
      </w:pPr>
    </w:p>
    <w:p w14:paraId="2574DB80" w14:textId="77777777" w:rsidR="00862A3F" w:rsidRDefault="00862A3F" w:rsidP="00F6570F">
      <w:pPr>
        <w:rPr>
          <w:rFonts w:ascii="Times New Roman" w:eastAsia="Times New Roman" w:hAnsi="Times New Roman" w:cs="Times New Roman"/>
          <w:iCs/>
          <w:color w:val="190F13"/>
          <w:sz w:val="24"/>
        </w:rPr>
      </w:pPr>
    </w:p>
    <w:p w14:paraId="3CE5A37A" w14:textId="49A689E1" w:rsidR="00F6570F" w:rsidRDefault="00F6570F" w:rsidP="00F6570F">
      <w:pPr>
        <w:rPr>
          <w:rFonts w:ascii="Times New Roman" w:eastAsia="SimSun" w:hAnsi="Times New Roman"/>
          <w:iCs/>
          <w:sz w:val="24"/>
        </w:rPr>
      </w:pPr>
      <w:r>
        <w:rPr>
          <w:rFonts w:ascii="Times New Roman" w:eastAsia="Times New Roman" w:hAnsi="Times New Roman" w:cs="Times New Roman"/>
          <w:iCs/>
          <w:color w:val="190F13"/>
          <w:sz w:val="24"/>
        </w:rPr>
        <w:t>Abstract:</w:t>
      </w:r>
    </w:p>
    <w:p w14:paraId="44DB10FA" w14:textId="22C5F00E" w:rsidR="00FE68E9" w:rsidRDefault="00056C3F">
      <w:r w:rsidRPr="0063375F">
        <w:rPr>
          <w:rFonts w:ascii="Times New Roman" w:eastAsia="SimSun" w:hAnsi="Times New Roman"/>
          <w:iCs/>
          <w:sz w:val="24"/>
        </w:rPr>
        <w:t>Hydrogels loaded with biologics hold great potential for various biomedical applications such as regenerative medicine. However, biologics may lose bioactivity during hydrogel shipping and storage. While injectable hydrogels do not have this issue, they face problems such as difficult injection and slow gelation. The purpose of this study was to develop an aptamer-based affinity hydrogel by integrating a pre-formed macroporous hydrogel matrix and an injectable hydrogel. The data show that the macroporous hydrogel matrix can hold a large amount of solution for the formation of in situ injectable hydrogels loaded with growth factors or living cells. The cells could maintain high viability and proliferate in the composite hydrogels. The growth factors could be stably sequestered and sustainably released due to the presence of aptamers. When both living cells and growth factors were loaded together into the hydrogels, cells could maintain viability under culture conditions with a reduced serum level.  Therefore, a macroporous matrix-supported formation of aptamer-functionalized injectable hydrogels is a promising method for developing the carriers of living cells and growth factors.</w:t>
      </w:r>
    </w:p>
    <w:sectPr w:rsidR="00FE6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3F"/>
    <w:rsid w:val="00056C3F"/>
    <w:rsid w:val="0024421F"/>
    <w:rsid w:val="00862A3F"/>
    <w:rsid w:val="00A0372A"/>
    <w:rsid w:val="00AC6E37"/>
    <w:rsid w:val="00F6570F"/>
    <w:rsid w:val="00FE6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2CB3"/>
  <w15:chartTrackingRefBased/>
  <w15:docId w15:val="{2591DC62-7315-45CB-A26E-CE0A77DC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70F"/>
    <w:pPr>
      <w:widowControl w:val="0"/>
      <w:spacing w:after="0" w:line="240" w:lineRule="auto"/>
      <w:jc w:val="both"/>
    </w:pPr>
    <w:rPr>
      <w:sz w:val="21"/>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6E98D734E4848A66601948A4B773B" ma:contentTypeVersion="16" ma:contentTypeDescription="Create a new document." ma:contentTypeScope="" ma:versionID="3c31eb7756433a1d70738ff9a382f078">
  <xsd:schema xmlns:xsd="http://www.w3.org/2001/XMLSchema" xmlns:xs="http://www.w3.org/2001/XMLSchema" xmlns:p="http://schemas.microsoft.com/office/2006/metadata/properties" xmlns:ns3="bb624ac4-931a-4cfc-97d9-dfb19d4c31d9" xmlns:ns4="2f572e85-880e-42f6-9c87-4ace17f0515e" targetNamespace="http://schemas.microsoft.com/office/2006/metadata/properties" ma:root="true" ma:fieldsID="50e6ea2b62a09a0fb7f96dae436be2e7" ns3:_="" ns4:_="">
    <xsd:import namespace="bb624ac4-931a-4cfc-97d9-dfb19d4c31d9"/>
    <xsd:import namespace="2f572e85-880e-42f6-9c87-4ace17f051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24ac4-931a-4cfc-97d9-dfb19d4c3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72e85-880e-42f6-9c87-4ace17f051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624ac4-931a-4cfc-97d9-dfb19d4c31d9" xsi:nil="true"/>
  </documentManagement>
</p:properties>
</file>

<file path=customXml/itemProps1.xml><?xml version="1.0" encoding="utf-8"?>
<ds:datastoreItem xmlns:ds="http://schemas.openxmlformats.org/officeDocument/2006/customXml" ds:itemID="{4809AFE8-DFD1-41EA-A34A-89C8A53E0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24ac4-931a-4cfc-97d9-dfb19d4c31d9"/>
    <ds:schemaRef ds:uri="2f572e85-880e-42f6-9c87-4ace17f05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D6E3F-8130-4C37-9101-ADB90071D89E}">
  <ds:schemaRefs>
    <ds:schemaRef ds:uri="http://schemas.microsoft.com/sharepoint/v3/contenttype/forms"/>
  </ds:schemaRefs>
</ds:datastoreItem>
</file>

<file path=customXml/itemProps3.xml><?xml version="1.0" encoding="utf-8"?>
<ds:datastoreItem xmlns:ds="http://schemas.openxmlformats.org/officeDocument/2006/customXml" ds:itemID="{61ED3487-41CA-4E79-AE39-0DFC273059AB}">
  <ds:schemaRefs>
    <ds:schemaRef ds:uri="http://schemas.microsoft.com/office/infopath/2007/PartnerControls"/>
    <ds:schemaRef ds:uri="http://schemas.openxmlformats.org/package/2006/metadata/core-properties"/>
    <ds:schemaRef ds:uri="http://purl.org/dc/dcmitype/"/>
    <ds:schemaRef ds:uri="http://purl.org/dc/elements/1.1/"/>
    <ds:schemaRef ds:uri="2f572e85-880e-42f6-9c87-4ace17f0515e"/>
    <ds:schemaRef ds:uri="http://purl.org/dc/terms/"/>
    <ds:schemaRef ds:uri="http://schemas.microsoft.com/office/2006/documentManagement/types"/>
    <ds:schemaRef ds:uri="bb624ac4-931a-4cfc-97d9-dfb19d4c31d9"/>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1378</Characters>
  <Application>Microsoft Office Word</Application>
  <DocSecurity>4</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Wen</dc:creator>
  <cp:keywords/>
  <dc:description/>
  <cp:lastModifiedBy>Bowers, Hailey</cp:lastModifiedBy>
  <cp:revision>2</cp:revision>
  <dcterms:created xsi:type="dcterms:W3CDTF">2024-02-13T16:17:00Z</dcterms:created>
  <dcterms:modified xsi:type="dcterms:W3CDTF">2024-02-13T16:17:00Z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0x0101009D16E98D734E4848A66601948A4B773B</vt:lpwstr>
  </property>
</Properties>
</file>