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41A063" w:rsidR="00726201" w:rsidRDefault="00656876" w:rsidP="0038594F">
      <w:pPr>
        <w:widowControl w:val="0"/>
        <w:spacing w:line="240" w:lineRule="auto"/>
        <w:ind w:left="360"/>
        <w:rPr>
          <w:b/>
          <w:lang w:val="en-US"/>
        </w:rPr>
      </w:pPr>
      <w:r>
        <w:rPr>
          <w:b/>
          <w:lang w:val="en-US"/>
        </w:rPr>
        <w:t xml:space="preserve">Real-time </w:t>
      </w:r>
      <w:r w:rsidRPr="0038594F">
        <w:rPr>
          <w:b/>
          <w:lang w:val="en-US"/>
        </w:rPr>
        <w:t xml:space="preserve">Study </w:t>
      </w:r>
      <w:r>
        <w:rPr>
          <w:b/>
          <w:lang w:val="en-US"/>
        </w:rPr>
        <w:t xml:space="preserve">of the </w:t>
      </w:r>
      <w:r w:rsidRPr="0038594F">
        <w:rPr>
          <w:b/>
          <w:lang w:val="en-US"/>
        </w:rPr>
        <w:t xml:space="preserve">Intestinal </w:t>
      </w:r>
      <w:r>
        <w:rPr>
          <w:b/>
        </w:rPr>
        <w:t>α</w:t>
      </w:r>
      <w:r w:rsidRPr="0038594F">
        <w:rPr>
          <w:b/>
          <w:lang w:val="en-US"/>
        </w:rPr>
        <w:t xml:space="preserve">-Synuclein Aggregation </w:t>
      </w:r>
      <w:r>
        <w:rPr>
          <w:b/>
          <w:lang w:val="en-US"/>
        </w:rPr>
        <w:t xml:space="preserve">using </w:t>
      </w:r>
      <w:r w:rsidRPr="0038594F">
        <w:rPr>
          <w:b/>
          <w:lang w:val="en-US"/>
        </w:rPr>
        <w:t>Laser-Printed Electrochemical Sensor</w:t>
      </w:r>
      <w:r>
        <w:rPr>
          <w:b/>
          <w:lang w:val="en-US"/>
        </w:rPr>
        <w:t xml:space="preserve"> Chips</w:t>
      </w:r>
    </w:p>
    <w:p w14:paraId="1FF6058D" w14:textId="77777777" w:rsidR="0038594F" w:rsidRDefault="0038594F" w:rsidP="0038594F">
      <w:pPr>
        <w:widowControl w:val="0"/>
        <w:spacing w:line="240" w:lineRule="auto"/>
        <w:ind w:left="360"/>
        <w:rPr>
          <w:b/>
          <w:lang w:val="en-US"/>
        </w:rPr>
      </w:pPr>
    </w:p>
    <w:p w14:paraId="4F412569" w14:textId="77777777" w:rsidR="0038594F" w:rsidRDefault="0038594F" w:rsidP="00656876">
      <w:pPr>
        <w:widowControl w:val="0"/>
        <w:spacing w:line="240" w:lineRule="auto"/>
        <w:ind w:left="360"/>
        <w:jc w:val="center"/>
        <w:rPr>
          <w:b/>
          <w:lang w:val="en-US"/>
        </w:rPr>
      </w:pPr>
    </w:p>
    <w:p w14:paraId="3269F8DF" w14:textId="77E38974" w:rsidR="00656876" w:rsidRPr="00F82F61" w:rsidRDefault="0038594F" w:rsidP="0038594F">
      <w:pPr>
        <w:rPr>
          <w:sz w:val="20"/>
          <w:szCs w:val="20"/>
          <w:lang w:val="en-US" w:eastAsia="zh-CN"/>
        </w:rPr>
      </w:pPr>
      <w:r w:rsidRPr="00F82F61">
        <w:rPr>
          <w:sz w:val="20"/>
          <w:szCs w:val="20"/>
          <w:lang w:val="en-US" w:eastAsia="zh-CN"/>
        </w:rPr>
        <w:t>Keren Zhou</w:t>
      </w:r>
      <w:r w:rsidRPr="00F82F61">
        <w:rPr>
          <w:sz w:val="20"/>
          <w:szCs w:val="20"/>
          <w:vertAlign w:val="superscript"/>
          <w:lang w:val="en-US" w:eastAsia="zh-CN"/>
        </w:rPr>
        <w:t>1,2</w:t>
      </w:r>
      <w:r w:rsidRPr="00F82F61">
        <w:rPr>
          <w:sz w:val="20"/>
          <w:szCs w:val="20"/>
          <w:lang w:val="en-US" w:eastAsia="zh-CN"/>
        </w:rPr>
        <w:t>, Julia M. Balsamo</w:t>
      </w:r>
      <w:r w:rsidRPr="00F82F61">
        <w:rPr>
          <w:sz w:val="20"/>
          <w:szCs w:val="20"/>
          <w:vertAlign w:val="superscript"/>
          <w:lang w:val="en-US" w:eastAsia="zh-CN"/>
        </w:rPr>
        <w:t>3</w:t>
      </w:r>
      <w:r w:rsidRPr="00F82F61">
        <w:rPr>
          <w:sz w:val="20"/>
          <w:szCs w:val="20"/>
          <w:lang w:val="en-US" w:eastAsia="zh-CN"/>
        </w:rPr>
        <w:t>, Vinay Kammarchedu</w:t>
      </w:r>
      <w:r w:rsidRPr="00F82F61">
        <w:rPr>
          <w:sz w:val="20"/>
          <w:szCs w:val="20"/>
          <w:vertAlign w:val="superscript"/>
          <w:lang w:val="en-US" w:eastAsia="zh-CN"/>
        </w:rPr>
        <w:t>1,2</w:t>
      </w:r>
      <w:r w:rsidRPr="00F82F61">
        <w:rPr>
          <w:sz w:val="20"/>
          <w:szCs w:val="20"/>
          <w:lang w:val="en-US" w:eastAsia="zh-CN"/>
        </w:rPr>
        <w:t>, Elizabeth N. Bess</w:t>
      </w:r>
      <w:r w:rsidRPr="00F82F61">
        <w:rPr>
          <w:sz w:val="20"/>
          <w:szCs w:val="20"/>
          <w:vertAlign w:val="superscript"/>
          <w:lang w:val="en-US" w:eastAsia="zh-CN"/>
        </w:rPr>
        <w:t>3,4</w:t>
      </w:r>
      <w:r w:rsidRPr="00F82F61">
        <w:rPr>
          <w:sz w:val="20"/>
          <w:szCs w:val="20"/>
          <w:lang w:val="en-US" w:eastAsia="zh-CN"/>
        </w:rPr>
        <w:t>, Aida Ebrahimi</w:t>
      </w:r>
      <w:r w:rsidRPr="00F82F61">
        <w:rPr>
          <w:sz w:val="20"/>
          <w:szCs w:val="20"/>
          <w:vertAlign w:val="superscript"/>
          <w:lang w:val="en-US" w:eastAsia="zh-CN"/>
        </w:rPr>
        <w:t>1,2,5*</w:t>
      </w:r>
    </w:p>
    <w:p w14:paraId="7829C66B" w14:textId="5E9077A6" w:rsidR="0038594F" w:rsidRPr="00F82F61" w:rsidRDefault="0038594F" w:rsidP="0038594F">
      <w:pPr>
        <w:rPr>
          <w:sz w:val="20"/>
          <w:szCs w:val="20"/>
          <w:lang w:val="en-US" w:eastAsia="zh-CN"/>
        </w:rPr>
      </w:pPr>
      <w:r w:rsidRPr="00F82F61">
        <w:rPr>
          <w:sz w:val="20"/>
          <w:szCs w:val="20"/>
          <w:vertAlign w:val="superscript"/>
          <w:lang w:val="en-US" w:eastAsia="zh-CN"/>
        </w:rPr>
        <w:t>1</w:t>
      </w:r>
      <w:r w:rsidRPr="00F82F61">
        <w:rPr>
          <w:sz w:val="20"/>
          <w:szCs w:val="20"/>
          <w:lang w:val="en-US" w:eastAsia="zh-CN"/>
        </w:rPr>
        <w:t>School of Electrical Engineering and Computer Science, The Pennsylvania State University, University Park, PA 16802, USA</w:t>
      </w:r>
    </w:p>
    <w:p w14:paraId="75ADF379" w14:textId="434F0B3B" w:rsidR="0038594F" w:rsidRPr="00F82F61" w:rsidRDefault="0038594F" w:rsidP="0038594F">
      <w:pPr>
        <w:rPr>
          <w:sz w:val="20"/>
          <w:szCs w:val="20"/>
          <w:lang w:val="en-US" w:eastAsia="zh-CN"/>
        </w:rPr>
      </w:pPr>
      <w:r w:rsidRPr="00F82F61">
        <w:rPr>
          <w:sz w:val="20"/>
          <w:szCs w:val="20"/>
          <w:vertAlign w:val="superscript"/>
          <w:lang w:val="en-US" w:eastAsia="zh-CN"/>
        </w:rPr>
        <w:t>2</w:t>
      </w:r>
      <w:r w:rsidRPr="00F82F61">
        <w:rPr>
          <w:sz w:val="20"/>
          <w:szCs w:val="20"/>
          <w:lang w:val="en-US" w:eastAsia="zh-CN"/>
        </w:rPr>
        <w:t>Materials Research Institute, The Pennsylvania State University, University Park, PA 16802, USA</w:t>
      </w:r>
    </w:p>
    <w:p w14:paraId="190E0298" w14:textId="4A6EBBF6" w:rsidR="0038594F" w:rsidRPr="00F82F61" w:rsidRDefault="0038594F" w:rsidP="0038594F">
      <w:pPr>
        <w:rPr>
          <w:sz w:val="20"/>
          <w:szCs w:val="20"/>
          <w:lang w:val="en-US" w:eastAsia="zh-CN"/>
        </w:rPr>
      </w:pPr>
      <w:r w:rsidRPr="00F82F61">
        <w:rPr>
          <w:color w:val="0E101A"/>
          <w:sz w:val="20"/>
          <w:szCs w:val="20"/>
          <w:vertAlign w:val="superscript"/>
          <w:lang w:val="en-US"/>
        </w:rPr>
        <w:t>3</w:t>
      </w:r>
      <w:r w:rsidRPr="00F82F61">
        <w:rPr>
          <w:color w:val="0E101A"/>
          <w:sz w:val="20"/>
          <w:szCs w:val="20"/>
          <w:lang w:val="en-US"/>
        </w:rPr>
        <w:t>Department of Chemistry, University of California, Irvine, CA 92617, USA</w:t>
      </w:r>
    </w:p>
    <w:p w14:paraId="2D626BDC" w14:textId="77777777" w:rsidR="0038594F" w:rsidRPr="00F82F61" w:rsidRDefault="0038594F" w:rsidP="0038594F">
      <w:pPr>
        <w:rPr>
          <w:sz w:val="20"/>
          <w:szCs w:val="20"/>
          <w:lang w:val="en-US" w:eastAsia="zh-CN"/>
        </w:rPr>
      </w:pPr>
      <w:r w:rsidRPr="00F82F61">
        <w:rPr>
          <w:sz w:val="20"/>
          <w:szCs w:val="20"/>
          <w:vertAlign w:val="superscript"/>
          <w:lang w:val="en-US" w:eastAsia="zh-CN"/>
        </w:rPr>
        <w:t>4</w:t>
      </w:r>
      <w:r w:rsidRPr="00F82F61">
        <w:rPr>
          <w:sz w:val="20"/>
          <w:szCs w:val="20"/>
          <w:lang w:val="en-US" w:eastAsia="zh-CN"/>
        </w:rPr>
        <w:t>Department of Biomedical Engineering, The Pennsylvania State University, University Park, PA 16802, USA</w:t>
      </w:r>
    </w:p>
    <w:p w14:paraId="55FF40BF" w14:textId="33D096FD" w:rsidR="0038594F" w:rsidRPr="00F82F61" w:rsidRDefault="0038594F" w:rsidP="0038594F">
      <w:pPr>
        <w:rPr>
          <w:sz w:val="20"/>
          <w:szCs w:val="20"/>
          <w:lang w:val="en-US" w:eastAsia="zh-CN"/>
        </w:rPr>
      </w:pPr>
      <w:r w:rsidRPr="00F82F61">
        <w:rPr>
          <w:sz w:val="20"/>
          <w:szCs w:val="20"/>
          <w:vertAlign w:val="superscript"/>
          <w:lang w:val="en-US" w:eastAsia="zh-CN"/>
        </w:rPr>
        <w:t>5</w:t>
      </w:r>
      <w:r w:rsidRPr="00F82F61">
        <w:rPr>
          <w:sz w:val="20"/>
          <w:szCs w:val="20"/>
          <w:lang w:val="en-US" w:eastAsia="zh-CN"/>
        </w:rPr>
        <w:t>Department of Molecular Biology and Biochemistry, University of California, Irvine, CA 92617, USA</w:t>
      </w:r>
    </w:p>
    <w:p w14:paraId="5C29D0AF" w14:textId="1E2B44CA" w:rsidR="0038594F" w:rsidRPr="00F82F61" w:rsidRDefault="0038594F" w:rsidP="0038594F">
      <w:pPr>
        <w:rPr>
          <w:sz w:val="20"/>
          <w:szCs w:val="20"/>
          <w:lang w:val="en-US" w:eastAsia="zh-CN"/>
        </w:rPr>
      </w:pPr>
      <w:r w:rsidRPr="00F82F61">
        <w:rPr>
          <w:sz w:val="20"/>
          <w:szCs w:val="20"/>
          <w:lang w:val="en-US" w:eastAsia="zh-CN"/>
        </w:rPr>
        <w:t xml:space="preserve">*Corresponding authors: Aida Ebrahimi, Department of Electrical Engineering, The Pennsylvania State University, University Park, PA 16802, email: </w:t>
      </w:r>
      <w:hyperlink r:id="rId8" w:history="1">
        <w:r w:rsidRPr="00F82F61">
          <w:rPr>
            <w:rStyle w:val="Hyperlink"/>
            <w:sz w:val="20"/>
            <w:szCs w:val="20"/>
            <w:lang w:val="en-US" w:eastAsia="zh-CN"/>
          </w:rPr>
          <w:t>sue66@psu.edu</w:t>
        </w:r>
      </w:hyperlink>
    </w:p>
    <w:p w14:paraId="4FF1D6B2" w14:textId="77777777" w:rsidR="0038594F" w:rsidRDefault="0038594F" w:rsidP="0038594F">
      <w:pPr>
        <w:rPr>
          <w:lang w:val="en-US" w:eastAsia="zh-CN"/>
        </w:rPr>
      </w:pPr>
    </w:p>
    <w:p w14:paraId="002BC624" w14:textId="77777777" w:rsidR="0038594F" w:rsidRPr="00656876" w:rsidRDefault="0038594F" w:rsidP="0038594F">
      <w:pPr>
        <w:rPr>
          <w:lang w:val="en-US" w:eastAsia="zh-CN"/>
        </w:rPr>
      </w:pPr>
    </w:p>
    <w:p w14:paraId="00000006" w14:textId="32F67DE2" w:rsidR="00726201" w:rsidRDefault="001E6B73" w:rsidP="00406A2D">
      <w:pPr>
        <w:jc w:val="both"/>
        <w:rPr>
          <w:lang w:val="en-US"/>
        </w:rPr>
      </w:pPr>
      <w:r w:rsidRPr="0038594F">
        <w:rPr>
          <w:lang w:val="en-US"/>
        </w:rPr>
        <w:t xml:space="preserve">The accumulation of aggregated </w:t>
      </w:r>
      <w:r>
        <w:t>α</w:t>
      </w:r>
      <w:r w:rsidRPr="0038594F">
        <w:rPr>
          <w:lang w:val="en-US"/>
        </w:rPr>
        <w:t xml:space="preserve">-synuclein protein and the depletion of dopamine levels in the brain are associated with the development of Parkinson's disease. The absence of effective therapeutics to slow this disease progression is because of a limited understanding of the mechanisms of </w:t>
      </w:r>
      <w:r>
        <w:t>α</w:t>
      </w:r>
      <w:r w:rsidRPr="0038594F">
        <w:rPr>
          <w:lang w:val="en-US"/>
        </w:rPr>
        <w:t xml:space="preserve">-synuclein aggregation. </w:t>
      </w:r>
      <w:r w:rsidR="00656876">
        <w:rPr>
          <w:lang w:val="en-US"/>
        </w:rPr>
        <w:t>Recently, it has been shown that</w:t>
      </w:r>
      <w:r w:rsidRPr="0038594F">
        <w:rPr>
          <w:lang w:val="en-US"/>
        </w:rPr>
        <w:t xml:space="preserve"> a gut bacterial metabolic pathway is responsible for initiating </w:t>
      </w:r>
      <w:r>
        <w:t>α</w:t>
      </w:r>
      <w:r w:rsidRPr="0038594F">
        <w:rPr>
          <w:lang w:val="en-US"/>
        </w:rPr>
        <w:t>-synuclein aggregation, based on dopamine oxidation.</w:t>
      </w:r>
      <w:r w:rsidR="00F82F61">
        <w:rPr>
          <w:lang w:val="en-US"/>
        </w:rPr>
        <w:fldChar w:fldCharType="begin" w:fldLock="1"/>
      </w:r>
      <w:r w:rsidR="00F82F61">
        <w:rPr>
          <w:lang w:val="en-US"/>
        </w:rPr>
        <w:instrText>ADDIN CSL_CITATION {"citationItems":[{"id":"ITEM-1","itemData":{"DOI":"10.1101/2022.06.08.495350","abstract":"Parkinson’s disease (PD) etiology is associated with aggregation and accumulation of α-synuclein (α- syn) proteins in midbrain dopaminergic neurons. Emerging evidence suggests that in certain subtypes of PD, α-syn aggregates originate in the gut and subsequently spread to the brain. However, the mechanisms that instigate α-syn aggregation in the gut have remained elusive. In the brain, the aggregation of α-syn is induced by oxidized dopamine. Such a mechanism has not been explored in the gastrointestinal (GI) tract, a niche harboring 46% of the body’s dopamine reservoirs. Here, we report that gut bacteria Enterobacteriaceae induce α-syn aggregation. More specifically, our in vitro data indicate that respiration of nitrate by Escherichia coli K-12 yields nitrite, a potent oxidizing agent that creates an oxidizing redox potential in the bacterial environment. In these conditions, Fe2+ was oxidized to Fe3+, enabling formation of dopamine-derived quinones and α-syn aggregates. Exposing nitrite, but not nitrate, to enteroendocrine STC-1 cells induced aggregation of α-syn that is natively expressed in these cells, which line the intestinal tract. Finally, we examined the in vivo relevance of bacterial nitrate respiration to the formation of α-syn aggregates using Caenorhabditis elegans models of PD. We discovered that nematodes exposed to nitrate-reducing E. coli K-12 displayed significantly enhanced neurodegeneration as compared to an E. coli K-12 mutant that could not respire nitrate. This neurodegenerative effect was absent when α-syn was mutated to prevent interactions with dopamine-derived quinones. Taken together, our findings indicate that gut bacterial nitrate reduction may be critical to initiating intestinal α- syn aggregation.\n\n![Figure][1]&lt;/img&gt;\n\n### Competing Interest Statement\n\nThe authors have declared no competing interest.\n\n [1]: pending:yes","author":[{"dropping-particle":"","family":"Ortiz De Ora","given":"Lizett","non-dropping-particle":"","parse-names":false,"suffix":""},{"dropping-particle":"","family":"Uyeda","given":"Kylie S","non-dropping-particle":"","parse-names":false,"suffix":""},{"dropping-particle":"","family":"Bess","given":"Elizabeth","non-dropping-particle":"","parse-names":false,"suffix":""},{"dropping-particle":"","family":"Bess","given":"Elizabeth N","non-dropping-particle":"","parse-names":false,"suffix":""}],"container-title":"bioRxiv","id":"ITEM-1","issued":{"date-parts":[["2022","6","8"]]},"page":"2022.06.08.495350","publisher":"Cold Spring Harbor Laboratory","title":"Discovery of a Gut Bacterial Metabolic Pathway that Drives α-Synuclein Aggregation and Neurodegeneration","type":"article-journal"},"uris":["http://www.mendeley.com/documents/?uuid=9d3f4775-1578-3045-bdc5-f680dd28ad79"]}],"mendeley":{"formattedCitation":"&lt;sup&gt;1&lt;/sup&gt;","plainTextFormattedCitation":"1","previouslyFormattedCitation":"&lt;sup&gt;1&lt;/sup&gt;"},"properties":{"noteIndex":0},"schema":"https://github.com/citation-style-language/schema/raw/master/csl-citation.json"}</w:instrText>
      </w:r>
      <w:r w:rsidR="00F82F61">
        <w:rPr>
          <w:lang w:val="en-US"/>
        </w:rPr>
        <w:fldChar w:fldCharType="separate"/>
      </w:r>
      <w:r w:rsidR="00F82F61" w:rsidRPr="00F82F61">
        <w:rPr>
          <w:noProof/>
          <w:vertAlign w:val="superscript"/>
          <w:lang w:val="en-US"/>
        </w:rPr>
        <w:t>1</w:t>
      </w:r>
      <w:r w:rsidR="00F82F61">
        <w:rPr>
          <w:lang w:val="en-US"/>
        </w:rPr>
        <w:fldChar w:fldCharType="end"/>
      </w:r>
      <w:r w:rsidRPr="0038594F">
        <w:rPr>
          <w:lang w:val="en-US"/>
        </w:rPr>
        <w:t xml:space="preserve"> Herein, we developed </w:t>
      </w:r>
      <w:r w:rsidR="00656876">
        <w:rPr>
          <w:lang w:val="en-US"/>
        </w:rPr>
        <w:t>fully printed</w:t>
      </w:r>
      <w:r w:rsidR="00656876" w:rsidRPr="0038594F">
        <w:rPr>
          <w:lang w:val="en-US"/>
        </w:rPr>
        <w:t xml:space="preserve"> </w:t>
      </w:r>
      <w:r w:rsidRPr="0038594F">
        <w:rPr>
          <w:lang w:val="en-US"/>
        </w:rPr>
        <w:t>laser-induced graphene sensor chip</w:t>
      </w:r>
      <w:r w:rsidR="00656876">
        <w:rPr>
          <w:lang w:val="en-US"/>
        </w:rPr>
        <w:t>s</w:t>
      </w:r>
      <w:r w:rsidRPr="0038594F">
        <w:rPr>
          <w:lang w:val="en-US"/>
        </w:rPr>
        <w:t xml:space="preserve"> to </w:t>
      </w:r>
      <w:r w:rsidR="00656876">
        <w:rPr>
          <w:lang w:val="en-US"/>
        </w:rPr>
        <w:t xml:space="preserve">electrochemically </w:t>
      </w:r>
      <w:r w:rsidRPr="0038594F">
        <w:rPr>
          <w:lang w:val="en-US"/>
        </w:rPr>
        <w:t xml:space="preserve">monitor </w:t>
      </w:r>
      <w:r>
        <w:t>α</w:t>
      </w:r>
      <w:r w:rsidRPr="0038594F">
        <w:rPr>
          <w:lang w:val="en-US"/>
        </w:rPr>
        <w:t xml:space="preserve">-synuclein aggregation and </w:t>
      </w:r>
      <w:r w:rsidR="00656876">
        <w:rPr>
          <w:lang w:val="en-US"/>
        </w:rPr>
        <w:t xml:space="preserve">the corresponding </w:t>
      </w:r>
      <w:r w:rsidRPr="0038594F">
        <w:rPr>
          <w:lang w:val="en-US"/>
        </w:rPr>
        <w:t xml:space="preserve">dopamine levels </w:t>
      </w:r>
      <w:r w:rsidR="00656876">
        <w:rPr>
          <w:lang w:val="en-US"/>
        </w:rPr>
        <w:t>in real time, which are in agreement with conventional end-point immunostaining assays</w:t>
      </w:r>
      <w:r w:rsidRPr="0038594F">
        <w:rPr>
          <w:lang w:val="en-US"/>
        </w:rPr>
        <w:t xml:space="preserve">. </w:t>
      </w:r>
      <w:r w:rsidR="00656876">
        <w:rPr>
          <w:lang w:val="en-US"/>
        </w:rPr>
        <w:t>Importantly, using</w:t>
      </w:r>
      <w:r w:rsidRPr="0038594F">
        <w:rPr>
          <w:lang w:val="en-US"/>
        </w:rPr>
        <w:t xml:space="preserve"> the sensor chip</w:t>
      </w:r>
      <w:r w:rsidR="00656876">
        <w:rPr>
          <w:lang w:val="en-US"/>
        </w:rPr>
        <w:t>s</w:t>
      </w:r>
      <w:r w:rsidRPr="0038594F">
        <w:rPr>
          <w:lang w:val="en-US"/>
        </w:rPr>
        <w:t xml:space="preserve">, we </w:t>
      </w:r>
      <w:r w:rsidR="00656876">
        <w:rPr>
          <w:lang w:val="en-US"/>
        </w:rPr>
        <w:t>studied</w:t>
      </w:r>
      <w:r w:rsidR="00656876" w:rsidRPr="0038594F">
        <w:rPr>
          <w:lang w:val="en-US"/>
        </w:rPr>
        <w:t xml:space="preserve"> </w:t>
      </w:r>
      <w:r w:rsidRPr="0038594F">
        <w:rPr>
          <w:lang w:val="en-US"/>
        </w:rPr>
        <w:t xml:space="preserve">the inhibitory potential of </w:t>
      </w:r>
      <w:r w:rsidR="00656876">
        <w:rPr>
          <w:lang w:val="en-US"/>
        </w:rPr>
        <w:t xml:space="preserve">two model </w:t>
      </w:r>
      <w:r w:rsidRPr="0038594F">
        <w:rPr>
          <w:lang w:val="en-US"/>
        </w:rPr>
        <w:t>diet-derived catechols</w:t>
      </w:r>
      <w:r w:rsidR="00656876" w:rsidRPr="0038594F">
        <w:rPr>
          <w:rFonts w:hint="eastAsia"/>
          <w:lang w:val="en-US" w:eastAsia="zh-CN"/>
        </w:rPr>
        <w:t xml:space="preserve"> </w:t>
      </w:r>
      <w:r w:rsidRPr="0038594F">
        <w:rPr>
          <w:lang w:val="en-US"/>
        </w:rPr>
        <w:t xml:space="preserve">against </w:t>
      </w:r>
      <w:r>
        <w:t>α</w:t>
      </w:r>
      <w:r w:rsidRPr="0038594F">
        <w:rPr>
          <w:lang w:val="en-US"/>
        </w:rPr>
        <w:t xml:space="preserve">-synuclein aggregation. Additionally, </w:t>
      </w:r>
      <w:r w:rsidR="00656876">
        <w:rPr>
          <w:lang w:val="en-US"/>
        </w:rPr>
        <w:t xml:space="preserve">we showed that </w:t>
      </w:r>
      <w:r w:rsidRPr="0038594F">
        <w:rPr>
          <w:lang w:val="en-US"/>
        </w:rPr>
        <w:t xml:space="preserve">these dietary catechols demonstrate the capability to inhibit </w:t>
      </w:r>
      <w:r>
        <w:t>α</w:t>
      </w:r>
      <w:r w:rsidRPr="0038594F">
        <w:rPr>
          <w:lang w:val="en-US"/>
        </w:rPr>
        <w:t xml:space="preserve">-synuclein aggregation in </w:t>
      </w:r>
      <w:r w:rsidR="00656876">
        <w:rPr>
          <w:lang w:val="en-US"/>
        </w:rPr>
        <w:t>model</w:t>
      </w:r>
      <w:r w:rsidRPr="0038594F">
        <w:rPr>
          <w:lang w:val="en-US"/>
        </w:rPr>
        <w:t xml:space="preserve"> enteroendocrine cells.</w:t>
      </w:r>
      <w:r w:rsidR="00656876" w:rsidRPr="0038594F">
        <w:rPr>
          <w:rFonts w:hint="eastAsia"/>
          <w:lang w:val="en-US" w:eastAsia="zh-CN"/>
        </w:rPr>
        <w:t xml:space="preserve"> </w:t>
      </w:r>
      <w:r w:rsidRPr="0038594F">
        <w:rPr>
          <w:lang w:val="en-US"/>
        </w:rPr>
        <w:t>These results represent crucial strides towards uncovering novel avenues for</w:t>
      </w:r>
      <w:r w:rsidR="00656876">
        <w:rPr>
          <w:lang w:val="en-US"/>
        </w:rPr>
        <w:t xml:space="preserve"> better understanding the mechanisms involved in pathogenesis of </w:t>
      </w:r>
      <w:r w:rsidR="00656876" w:rsidRPr="0038594F">
        <w:rPr>
          <w:lang w:val="en-US"/>
        </w:rPr>
        <w:t>Parkinson's disease</w:t>
      </w:r>
      <w:r w:rsidR="00656876">
        <w:rPr>
          <w:lang w:val="en-US"/>
        </w:rPr>
        <w:t xml:space="preserve"> and its</w:t>
      </w:r>
      <w:r w:rsidR="00656876" w:rsidRPr="0038594F">
        <w:rPr>
          <w:lang w:val="en-US"/>
        </w:rPr>
        <w:t xml:space="preserve"> </w:t>
      </w:r>
      <w:r w:rsidR="00656876">
        <w:rPr>
          <w:lang w:val="en-US"/>
        </w:rPr>
        <w:t>management using</w:t>
      </w:r>
      <w:r w:rsidR="00656876" w:rsidRPr="0038594F">
        <w:rPr>
          <w:lang w:val="en-US"/>
        </w:rPr>
        <w:t xml:space="preserve"> </w:t>
      </w:r>
      <w:r w:rsidRPr="0038594F">
        <w:rPr>
          <w:lang w:val="en-US"/>
        </w:rPr>
        <w:t xml:space="preserve">electrochemical sensors. </w:t>
      </w:r>
    </w:p>
    <w:p w14:paraId="0B6DDEE4" w14:textId="77777777" w:rsidR="00F82F61" w:rsidRDefault="00F82F61" w:rsidP="0038594F">
      <w:pPr>
        <w:rPr>
          <w:lang w:val="en-US"/>
        </w:rPr>
      </w:pPr>
    </w:p>
    <w:p w14:paraId="58143D69" w14:textId="69105824" w:rsidR="00F82F61" w:rsidRPr="00F82F61" w:rsidRDefault="00F82F61" w:rsidP="00F82F61">
      <w:pPr>
        <w:widowControl w:val="0"/>
        <w:autoSpaceDE w:val="0"/>
        <w:autoSpaceDN w:val="0"/>
        <w:adjustRightInd w:val="0"/>
        <w:spacing w:line="240" w:lineRule="auto"/>
        <w:ind w:left="640" w:hanging="640"/>
        <w:rPr>
          <w:noProof/>
        </w:rPr>
      </w:pPr>
      <w:r>
        <w:rPr>
          <w:lang w:val="en-US"/>
        </w:rPr>
        <w:fldChar w:fldCharType="begin" w:fldLock="1"/>
      </w:r>
      <w:r>
        <w:rPr>
          <w:lang w:val="en-US"/>
        </w:rPr>
        <w:instrText xml:space="preserve">ADDIN Mendeley Bibliography CSL_BIBLIOGRAPHY </w:instrText>
      </w:r>
      <w:r>
        <w:rPr>
          <w:lang w:val="en-US"/>
        </w:rPr>
        <w:fldChar w:fldCharType="separate"/>
      </w:r>
      <w:r w:rsidRPr="00F82F61">
        <w:rPr>
          <w:noProof/>
        </w:rPr>
        <w:t>1.</w:t>
      </w:r>
      <w:r w:rsidRPr="00F82F61">
        <w:rPr>
          <w:noProof/>
        </w:rPr>
        <w:tab/>
        <w:t xml:space="preserve">Ortiz De Ora, L., Uyeda, K. S., Bess, E. &amp; Bess, E. N. Discovery of a Gut Bacterial Metabolic Pathway that Drives α-Synuclein Aggregation and Neurodegeneration. </w:t>
      </w:r>
      <w:r w:rsidRPr="00F82F61">
        <w:rPr>
          <w:i/>
          <w:iCs/>
          <w:noProof/>
        </w:rPr>
        <w:t>bioRxiv</w:t>
      </w:r>
      <w:r w:rsidRPr="00F82F61">
        <w:rPr>
          <w:noProof/>
        </w:rPr>
        <w:t xml:space="preserve"> 2022.06.08.495350 (2022) doi:10.1101/2022.06.08.495350.</w:t>
      </w:r>
    </w:p>
    <w:p w14:paraId="27705F31" w14:textId="4E45DBDC" w:rsidR="00F82F61" w:rsidRPr="0038594F" w:rsidRDefault="00F82F61" w:rsidP="0038594F">
      <w:pPr>
        <w:rPr>
          <w:lang w:val="en-US"/>
        </w:rPr>
      </w:pPr>
      <w:r>
        <w:rPr>
          <w:lang w:val="en-US"/>
        </w:rPr>
        <w:fldChar w:fldCharType="end"/>
      </w:r>
    </w:p>
    <w:p w14:paraId="00000007" w14:textId="77777777" w:rsidR="00726201" w:rsidRPr="0038594F" w:rsidRDefault="00726201">
      <w:pPr>
        <w:jc w:val="both"/>
        <w:rPr>
          <w:lang w:val="en-US"/>
        </w:rPr>
      </w:pPr>
    </w:p>
    <w:sectPr w:rsidR="00726201" w:rsidRPr="003859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01"/>
    <w:rsid w:val="001E6B73"/>
    <w:rsid w:val="0038594F"/>
    <w:rsid w:val="00406A2D"/>
    <w:rsid w:val="00656876"/>
    <w:rsid w:val="00726201"/>
    <w:rsid w:val="00F8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0449"/>
  <w15:docId w15:val="{6DF3D6B6-1AF7-4605-B251-2550C12F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2"/>
        <w:szCs w:val="22"/>
        <w:lang w:val="zh-C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Revision">
    <w:name w:val="Revision"/>
    <w:hidden/>
    <w:uiPriority w:val="99"/>
    <w:semiHidden/>
    <w:rsid w:val="00656876"/>
    <w:pPr>
      <w:spacing w:line="240" w:lineRule="auto"/>
    </w:pPr>
  </w:style>
  <w:style w:type="character" w:styleId="CommentReference">
    <w:name w:val="annotation reference"/>
    <w:basedOn w:val="DefaultParagraphFont"/>
    <w:uiPriority w:val="99"/>
    <w:semiHidden/>
    <w:unhideWhenUsed/>
    <w:rsid w:val="00656876"/>
    <w:rPr>
      <w:sz w:val="16"/>
      <w:szCs w:val="16"/>
    </w:rPr>
  </w:style>
  <w:style w:type="paragraph" w:styleId="CommentText">
    <w:name w:val="annotation text"/>
    <w:basedOn w:val="Normal"/>
    <w:link w:val="CommentTextChar"/>
    <w:uiPriority w:val="99"/>
    <w:unhideWhenUsed/>
    <w:rsid w:val="00656876"/>
    <w:pPr>
      <w:spacing w:line="240" w:lineRule="auto"/>
    </w:pPr>
    <w:rPr>
      <w:sz w:val="20"/>
      <w:szCs w:val="20"/>
    </w:rPr>
  </w:style>
  <w:style w:type="character" w:customStyle="1" w:styleId="CommentTextChar">
    <w:name w:val="Comment Text Char"/>
    <w:basedOn w:val="DefaultParagraphFont"/>
    <w:link w:val="CommentText"/>
    <w:uiPriority w:val="99"/>
    <w:rsid w:val="00656876"/>
    <w:rPr>
      <w:sz w:val="20"/>
      <w:szCs w:val="20"/>
    </w:rPr>
  </w:style>
  <w:style w:type="paragraph" w:styleId="CommentSubject">
    <w:name w:val="annotation subject"/>
    <w:basedOn w:val="CommentText"/>
    <w:next w:val="CommentText"/>
    <w:link w:val="CommentSubjectChar"/>
    <w:uiPriority w:val="99"/>
    <w:semiHidden/>
    <w:unhideWhenUsed/>
    <w:rsid w:val="00656876"/>
    <w:rPr>
      <w:b/>
      <w:bCs/>
    </w:rPr>
  </w:style>
  <w:style w:type="character" w:customStyle="1" w:styleId="CommentSubjectChar">
    <w:name w:val="Comment Subject Char"/>
    <w:basedOn w:val="CommentTextChar"/>
    <w:link w:val="CommentSubject"/>
    <w:uiPriority w:val="99"/>
    <w:semiHidden/>
    <w:rsid w:val="00656876"/>
    <w:rPr>
      <w:b/>
      <w:bCs/>
      <w:sz w:val="20"/>
      <w:szCs w:val="20"/>
    </w:rPr>
  </w:style>
  <w:style w:type="character" w:styleId="Hyperlink">
    <w:name w:val="Hyperlink"/>
    <w:basedOn w:val="DefaultParagraphFont"/>
    <w:uiPriority w:val="99"/>
    <w:unhideWhenUsed/>
    <w:rsid w:val="0038594F"/>
    <w:rPr>
      <w:color w:val="0000FF" w:themeColor="hyperlink"/>
      <w:u w:val="single"/>
    </w:rPr>
  </w:style>
  <w:style w:type="character" w:styleId="UnresolvedMention">
    <w:name w:val="Unresolved Mention"/>
    <w:basedOn w:val="DefaultParagraphFont"/>
    <w:uiPriority w:val="99"/>
    <w:semiHidden/>
    <w:unhideWhenUsed/>
    <w:rsid w:val="00385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e66@p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048CC6-9732-4953-9DB8-B17DFFB2F6AA}">
  <we:reference id="f78a3046-9e99-4300-aa2b-5814002b01a2" version="1.55.1.0" store="EXCatalog" storeType="EXCatalog"/>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16E98D734E4848A66601948A4B773B" ma:contentTypeVersion="16" ma:contentTypeDescription="Create a new document." ma:contentTypeScope="" ma:versionID="3c31eb7756433a1d70738ff9a382f078">
  <xsd:schema xmlns:xsd="http://www.w3.org/2001/XMLSchema" xmlns:xs="http://www.w3.org/2001/XMLSchema" xmlns:p="http://schemas.microsoft.com/office/2006/metadata/properties" xmlns:ns3="bb624ac4-931a-4cfc-97d9-dfb19d4c31d9" xmlns:ns4="2f572e85-880e-42f6-9c87-4ace17f0515e" targetNamespace="http://schemas.microsoft.com/office/2006/metadata/properties" ma:root="true" ma:fieldsID="50e6ea2b62a09a0fb7f96dae436be2e7" ns3:_="" ns4:_="">
    <xsd:import namespace="bb624ac4-931a-4cfc-97d9-dfb19d4c31d9"/>
    <xsd:import namespace="2f572e85-880e-42f6-9c87-4ace17f051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24ac4-931a-4cfc-97d9-dfb19d4c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2e85-880e-42f6-9c87-4ace17f051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624ac4-931a-4cfc-97d9-dfb19d4c31d9" xsi:nil="true"/>
  </documentManagement>
</p:properties>
</file>

<file path=customXml/itemProps1.xml><?xml version="1.0" encoding="utf-8"?>
<ds:datastoreItem xmlns:ds="http://schemas.openxmlformats.org/officeDocument/2006/customXml" ds:itemID="{41F55A1A-37F8-47EA-AF01-2CB0DFDF91AC}">
  <ds:schemaRefs>
    <ds:schemaRef ds:uri="http://schemas.openxmlformats.org/officeDocument/2006/bibliography"/>
  </ds:schemaRefs>
</ds:datastoreItem>
</file>

<file path=customXml/itemProps2.xml><?xml version="1.0" encoding="utf-8"?>
<ds:datastoreItem xmlns:ds="http://schemas.openxmlformats.org/officeDocument/2006/customXml" ds:itemID="{F7E4D8E1-28D4-4A6E-BEF5-896433586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24ac4-931a-4cfc-97d9-dfb19d4c31d9"/>
    <ds:schemaRef ds:uri="2f572e85-880e-42f6-9c87-4ace17f05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C30A0-9874-42C6-BC9A-0476BC07ACFD}">
  <ds:schemaRefs>
    <ds:schemaRef ds:uri="http://schemas.microsoft.com/sharepoint/v3/contenttype/forms"/>
  </ds:schemaRefs>
</ds:datastoreItem>
</file>

<file path=customXml/itemProps4.xml><?xml version="1.0" encoding="utf-8"?>
<ds:datastoreItem xmlns:ds="http://schemas.openxmlformats.org/officeDocument/2006/customXml" ds:itemID="{C7B89ED8-21E7-49DB-BA71-D533434AE27E}">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2f572e85-880e-42f6-9c87-4ace17f0515e"/>
    <ds:schemaRef ds:uri="http://purl.org/dc/terms/"/>
    <ds:schemaRef ds:uri="http://purl.org/dc/dcmitype/"/>
    <ds:schemaRef ds:uri="http://schemas.openxmlformats.org/package/2006/metadata/core-properties"/>
    <ds:schemaRef ds:uri="bb624ac4-931a-4cfc-97d9-dfb19d4c31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826</Words>
  <Characters>4710</Characters>
  <Application>Microsoft Office Word</Application>
  <DocSecurity>4</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 Zhou</dc:creator>
  <cp:lastModifiedBy>Bowers, Hailey</cp:lastModifiedBy>
  <cp:revision>2</cp:revision>
  <dcterms:created xsi:type="dcterms:W3CDTF">2024-02-13T16:15:00Z</dcterms:created>
  <dcterms:modified xsi:type="dcterms:W3CDTF">2024-02-13T16:15:00Z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eecfc532-a22f-3760-8426-419f534fefe9</vt:lpwstr>
  </property>
  <property fmtid="{D5CDD505-2E9C-101B-9397-08002B2CF9AE}" pid="4" name="Mendeley Citation Style_1">
    <vt:lpwstr>http://www.zotero.org/styles/nature</vt:lpwstr>
  </property>
  <property fmtid="{D5CDD505-2E9C-101B-9397-08002B2CF9AE}" pid="5" name="Mendeley Recent Style Id 0_1">
    <vt:lpwstr>http://www.zotero.org/styles/advanced-healthcare-materials</vt:lpwstr>
  </property>
  <property fmtid="{D5CDD505-2E9C-101B-9397-08002B2CF9AE}" pid="6" name="Mendeley Recent Style Name 0_1">
    <vt:lpwstr>Advanced Healthcare Materials</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0x0101009D16E98D734E4848A66601948A4B773B</vt:lpwstr>
  </property>
</Properties>
</file>